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CAF" w:rsidRDefault="00732D6F" w:rsidP="000E0CE5">
      <w:pPr>
        <w:tabs>
          <w:tab w:val="left" w:pos="1418"/>
        </w:tabs>
        <w:spacing w:after="0" w:line="240" w:lineRule="auto"/>
        <w:ind w:left="1418"/>
        <w:rPr>
          <w:rFonts w:ascii="Arial" w:hAnsi="Arial" w:cs="Arial"/>
          <w:b/>
          <w:color w:val="606062"/>
          <w:sz w:val="24"/>
          <w:szCs w:val="24"/>
        </w:rPr>
      </w:pPr>
      <w:r w:rsidRPr="00732D6F">
        <w:rPr>
          <w:rFonts w:ascii="Arial" w:hAnsi="Arial" w:cs="Arial"/>
          <w:b/>
          <w:color w:val="606062"/>
          <w:sz w:val="24"/>
          <w:szCs w:val="24"/>
        </w:rPr>
        <w:t xml:space="preserve">ЕУ </w:t>
      </w:r>
      <w:proofErr w:type="spellStart"/>
      <w:r w:rsidRPr="00732D6F">
        <w:rPr>
          <w:rFonts w:ascii="Arial" w:hAnsi="Arial" w:cs="Arial"/>
          <w:b/>
          <w:color w:val="606062"/>
          <w:sz w:val="24"/>
          <w:szCs w:val="24"/>
        </w:rPr>
        <w:t>за</w:t>
      </w:r>
      <w:proofErr w:type="spellEnd"/>
      <w:r w:rsidRPr="00732D6F">
        <w:rPr>
          <w:rFonts w:ascii="Arial" w:hAnsi="Arial" w:cs="Arial"/>
          <w:b/>
          <w:color w:val="606062"/>
          <w:sz w:val="24"/>
          <w:szCs w:val="24"/>
        </w:rPr>
        <w:t xml:space="preserve"> </w:t>
      </w:r>
      <w:proofErr w:type="spellStart"/>
      <w:r w:rsidRPr="00732D6F">
        <w:rPr>
          <w:rFonts w:ascii="Arial" w:hAnsi="Arial" w:cs="Arial"/>
          <w:b/>
          <w:color w:val="606062"/>
          <w:sz w:val="24"/>
          <w:szCs w:val="24"/>
        </w:rPr>
        <w:t>развој</w:t>
      </w:r>
      <w:proofErr w:type="spellEnd"/>
      <w:r w:rsidRPr="00732D6F">
        <w:rPr>
          <w:rFonts w:ascii="Arial" w:hAnsi="Arial" w:cs="Arial"/>
          <w:b/>
          <w:color w:val="606062"/>
          <w:sz w:val="24"/>
          <w:szCs w:val="24"/>
        </w:rPr>
        <w:t xml:space="preserve"> </w:t>
      </w:r>
      <w:proofErr w:type="spellStart"/>
      <w:r w:rsidRPr="00770605">
        <w:rPr>
          <w:rFonts w:ascii="Arial" w:hAnsi="Arial" w:cs="Arial"/>
          <w:b/>
          <w:color w:val="606062"/>
          <w:sz w:val="24"/>
          <w:szCs w:val="24"/>
        </w:rPr>
        <w:t>статистике</w:t>
      </w:r>
      <w:proofErr w:type="spellEnd"/>
      <w:r w:rsidRPr="00770605">
        <w:rPr>
          <w:rFonts w:ascii="Arial" w:hAnsi="Arial" w:cs="Arial"/>
          <w:b/>
          <w:color w:val="606062"/>
          <w:sz w:val="24"/>
          <w:szCs w:val="24"/>
        </w:rPr>
        <w:t xml:space="preserve"> у</w:t>
      </w:r>
      <w:r w:rsidRPr="00732D6F">
        <w:rPr>
          <w:rFonts w:ascii="Arial" w:hAnsi="Arial" w:cs="Arial"/>
          <w:b/>
          <w:color w:val="606062"/>
          <w:sz w:val="24"/>
          <w:szCs w:val="24"/>
        </w:rPr>
        <w:t xml:space="preserve"> </w:t>
      </w:r>
      <w:proofErr w:type="spellStart"/>
      <w:r w:rsidRPr="00732D6F">
        <w:rPr>
          <w:rFonts w:ascii="Arial" w:hAnsi="Arial" w:cs="Arial"/>
          <w:b/>
          <w:color w:val="606062"/>
          <w:sz w:val="24"/>
          <w:szCs w:val="24"/>
        </w:rPr>
        <w:t>Србији</w:t>
      </w:r>
      <w:proofErr w:type="spellEnd"/>
    </w:p>
    <w:p w:rsidR="005F7AD4" w:rsidRPr="005939EE" w:rsidRDefault="007C7F7A" w:rsidP="000E0CE5">
      <w:pPr>
        <w:tabs>
          <w:tab w:val="left" w:pos="1418"/>
        </w:tabs>
        <w:spacing w:after="0" w:line="240" w:lineRule="auto"/>
        <w:ind w:left="1418"/>
        <w:rPr>
          <w:rFonts w:ascii="Arial" w:hAnsi="Arial" w:cs="Arial"/>
          <w:b/>
          <w:color w:val="606062"/>
          <w:sz w:val="12"/>
          <w:szCs w:val="12"/>
        </w:rPr>
      </w:pPr>
      <w:r w:rsidRPr="00732D6F">
        <w:rPr>
          <w:rFonts w:ascii="Arial" w:hAnsi="Arial" w:cs="Arial"/>
          <w:b/>
          <w:noProof/>
          <w:color w:val="606062"/>
          <w:sz w:val="24"/>
          <w:szCs w:val="24"/>
        </w:rPr>
        <mc:AlternateContent>
          <mc:Choice Requires="wps">
            <w:drawing>
              <wp:anchor distT="0" distB="0" distL="114300" distR="114300" simplePos="0" relativeHeight="251659264" behindDoc="0" locked="0" layoutInCell="1" allowOverlap="1">
                <wp:simplePos x="0" y="0"/>
                <wp:positionH relativeFrom="column">
                  <wp:posOffset>887095</wp:posOffset>
                </wp:positionH>
                <wp:positionV relativeFrom="paragraph">
                  <wp:posOffset>55880</wp:posOffset>
                </wp:positionV>
                <wp:extent cx="6659880" cy="19050"/>
                <wp:effectExtent l="19050" t="19050" r="26670" b="19050"/>
                <wp:wrapNone/>
                <wp:docPr id="2" name="Straight Connector 2"/>
                <wp:cNvGraphicFramePr/>
                <a:graphic xmlns:a="http://schemas.openxmlformats.org/drawingml/2006/main">
                  <a:graphicData uri="http://schemas.microsoft.com/office/word/2010/wordprocessingShape">
                    <wps:wsp>
                      <wps:cNvCnPr/>
                      <wps:spPr>
                        <a:xfrm>
                          <a:off x="0" y="0"/>
                          <a:ext cx="6659880" cy="19050"/>
                        </a:xfrm>
                        <a:prstGeom prst="line">
                          <a:avLst/>
                        </a:prstGeom>
                        <a:ln w="28575">
                          <a:solidFill>
                            <a:srgbClr val="20419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25B0EECD"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85pt,4.4pt" to="594.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" strokecolor="#20419a" strokeweight="2.25pt">
                <v:stroke joinstyle="miter"/>
              </v:line>
            </w:pict>
          </mc:Fallback>
        </mc:AlternateContent>
      </w:r>
    </w:p>
    <w:p w:rsidR="00032D15" w:rsidRDefault="00164FD9" w:rsidP="000E0CE5">
      <w:pPr>
        <w:tabs>
          <w:tab w:val="left" w:pos="1418"/>
        </w:tabs>
        <w:spacing w:before="60" w:after="0" w:line="240" w:lineRule="auto"/>
        <w:ind w:left="1418"/>
        <w:rPr>
          <w:rFonts w:ascii="Arial" w:hAnsi="Arial" w:cs="Arial"/>
          <w:color w:val="606062"/>
          <w:sz w:val="24"/>
          <w:szCs w:val="24"/>
          <w:lang w:val="sr-Cyrl-RS"/>
        </w:rPr>
      </w:pPr>
      <w:r w:rsidRPr="00164FD9">
        <w:rPr>
          <w:rFonts w:ascii="Arial" w:hAnsi="Arial" w:cs="Arial"/>
          <w:color w:val="606062"/>
          <w:sz w:val="24"/>
          <w:szCs w:val="24"/>
          <w:lang w:val="sr-Cyrl-RS"/>
        </w:rPr>
        <w:t>Попис становништва, домаћинстава и станова</w:t>
      </w:r>
      <w:r w:rsidR="00481D28">
        <w:rPr>
          <w:rFonts w:ascii="Arial" w:hAnsi="Arial" w:cs="Arial"/>
          <w:color w:val="606062"/>
          <w:sz w:val="24"/>
          <w:szCs w:val="24"/>
          <w:lang w:val="sr-Cyrl-RS"/>
        </w:rPr>
        <w:t xml:space="preserve"> 2021.</w:t>
      </w:r>
      <w:r w:rsidR="00D16676">
        <w:rPr>
          <w:rFonts w:ascii="Arial" w:hAnsi="Arial" w:cs="Arial"/>
          <w:color w:val="606062"/>
          <w:sz w:val="24"/>
          <w:szCs w:val="24"/>
          <w:lang w:val="sr-Cyrl-RS"/>
        </w:rPr>
        <w:t xml:space="preserve"> године</w:t>
      </w:r>
    </w:p>
    <w:p w:rsidR="00481D28" w:rsidRPr="0023377E" w:rsidRDefault="0023377E" w:rsidP="0023377E">
      <w:pPr>
        <w:ind w:left="1418"/>
        <w:jc w:val="right"/>
        <w:rPr>
          <w:rFonts w:ascii="Arial" w:hAnsi="Arial" w:cs="Arial"/>
          <w:sz w:val="20"/>
          <w:szCs w:val="20"/>
        </w:rPr>
      </w:pPr>
      <w:r>
        <w:rPr>
          <w:rFonts w:ascii="Arial" w:hAnsi="Arial" w:cs="Arial"/>
          <w:sz w:val="24"/>
          <w:szCs w:val="24"/>
          <w:lang w:val="sr-Cyrl-RS"/>
        </w:rPr>
        <w:tab/>
      </w:r>
      <w:r>
        <w:rPr>
          <w:rFonts w:ascii="Arial" w:hAnsi="Arial" w:cs="Arial"/>
          <w:sz w:val="24"/>
          <w:szCs w:val="24"/>
          <w:lang w:val="sr-Cyrl-RS"/>
        </w:rPr>
        <w:tab/>
      </w:r>
      <w:r>
        <w:rPr>
          <w:rFonts w:ascii="Arial" w:hAnsi="Arial" w:cs="Arial"/>
          <w:sz w:val="24"/>
          <w:szCs w:val="24"/>
          <w:lang w:val="sr-Cyrl-RS"/>
        </w:rPr>
        <w:tab/>
      </w:r>
      <w:r>
        <w:rPr>
          <w:rFonts w:ascii="Arial" w:hAnsi="Arial" w:cs="Arial"/>
          <w:sz w:val="24"/>
          <w:szCs w:val="24"/>
          <w:lang w:val="sr-Cyrl-RS"/>
        </w:rPr>
        <w:tab/>
      </w:r>
      <w:r>
        <w:rPr>
          <w:rFonts w:ascii="Arial" w:hAnsi="Arial" w:cs="Arial"/>
          <w:sz w:val="24"/>
          <w:szCs w:val="24"/>
          <w:lang w:val="sr-Cyrl-RS"/>
        </w:rPr>
        <w:tab/>
      </w:r>
      <w:r>
        <w:rPr>
          <w:rFonts w:ascii="Arial" w:hAnsi="Arial" w:cs="Arial"/>
          <w:sz w:val="24"/>
          <w:szCs w:val="24"/>
          <w:lang w:val="sr-Cyrl-RS"/>
        </w:rPr>
        <w:tab/>
      </w:r>
      <w:r>
        <w:rPr>
          <w:rFonts w:ascii="Arial" w:hAnsi="Arial" w:cs="Arial"/>
          <w:sz w:val="24"/>
          <w:szCs w:val="24"/>
          <w:lang w:val="sr-Cyrl-RS"/>
        </w:rPr>
        <w:tab/>
      </w:r>
      <w:r>
        <w:rPr>
          <w:rFonts w:ascii="Arial" w:hAnsi="Arial" w:cs="Arial"/>
          <w:sz w:val="24"/>
          <w:szCs w:val="24"/>
          <w:lang w:val="sr-Cyrl-RS"/>
        </w:rPr>
        <w:tab/>
      </w:r>
      <w:r>
        <w:rPr>
          <w:rFonts w:ascii="Arial" w:hAnsi="Arial" w:cs="Arial"/>
          <w:sz w:val="24"/>
          <w:szCs w:val="24"/>
          <w:lang w:val="sr-Cyrl-RS"/>
        </w:rPr>
        <w:tab/>
      </w:r>
      <w:r>
        <w:rPr>
          <w:rFonts w:ascii="Arial" w:hAnsi="Arial" w:cs="Arial"/>
          <w:sz w:val="24"/>
          <w:szCs w:val="24"/>
          <w:lang w:val="sr-Cyrl-RS"/>
        </w:rPr>
        <w:tab/>
      </w:r>
      <w:r>
        <w:rPr>
          <w:rFonts w:ascii="Arial" w:hAnsi="Arial" w:cs="Arial"/>
          <w:sz w:val="24"/>
          <w:szCs w:val="24"/>
          <w:lang w:val="sr-Cyrl-RS"/>
        </w:rPr>
        <w:tab/>
      </w:r>
      <w:r>
        <w:rPr>
          <w:rFonts w:ascii="Arial" w:hAnsi="Arial" w:cs="Arial"/>
          <w:sz w:val="24"/>
          <w:szCs w:val="24"/>
          <w:lang w:val="sr-Cyrl-RS"/>
        </w:rPr>
        <w:tab/>
      </w:r>
      <w:r w:rsidRPr="0023377E">
        <w:rPr>
          <w:rFonts w:ascii="Arial" w:hAnsi="Arial" w:cs="Arial"/>
        </w:rPr>
        <w:t>16.10.2020</w:t>
      </w:r>
      <w:r w:rsidRPr="0023377E">
        <w:rPr>
          <w:rFonts w:ascii="Arial" w:hAnsi="Arial" w:cs="Arial"/>
          <w:sz w:val="20"/>
          <w:szCs w:val="20"/>
        </w:rPr>
        <w:t>.</w:t>
      </w:r>
    </w:p>
    <w:p w:rsidR="0023377E" w:rsidRPr="0023377E" w:rsidRDefault="0023377E" w:rsidP="0023377E">
      <w:pPr>
        <w:tabs>
          <w:tab w:val="left" w:pos="900"/>
        </w:tabs>
        <w:spacing w:before="120" w:after="0" w:line="16" w:lineRule="atLeast"/>
        <w:jc w:val="both"/>
        <w:rPr>
          <w:rFonts w:ascii="Arial" w:eastAsia="Times New Roman" w:hAnsi="Arial" w:cs="Times New Roman"/>
          <w:b/>
          <w:sz w:val="24"/>
          <w:szCs w:val="24"/>
          <w:lang w:val="sr-Cyrl-RS"/>
        </w:rPr>
      </w:pPr>
      <w:r>
        <w:rPr>
          <w:rFonts w:ascii="Arial" w:eastAsia="Times New Roman" w:hAnsi="Arial" w:cs="Times New Roman"/>
          <w:b/>
          <w:lang w:val="sr-Cyrl-RS"/>
        </w:rPr>
        <w:tab/>
      </w:r>
      <w:r>
        <w:rPr>
          <w:rFonts w:ascii="Arial" w:eastAsia="Times New Roman" w:hAnsi="Arial" w:cs="Times New Roman"/>
          <w:b/>
          <w:lang w:val="sr-Cyrl-RS"/>
        </w:rPr>
        <w:tab/>
      </w:r>
      <w:r w:rsidR="008842D1">
        <w:rPr>
          <w:rFonts w:ascii="Arial" w:eastAsia="Times New Roman" w:hAnsi="Arial" w:cs="Times New Roman"/>
          <w:b/>
          <w:lang w:val="sr-Cyrl-RS"/>
        </w:rPr>
        <w:tab/>
      </w:r>
      <w:r w:rsidRPr="0023377E">
        <w:rPr>
          <w:rFonts w:ascii="Arial" w:eastAsia="Times New Roman" w:hAnsi="Arial" w:cs="Times New Roman"/>
          <w:b/>
          <w:sz w:val="24"/>
          <w:szCs w:val="24"/>
          <w:lang w:val="sr-Cyrl-RS"/>
        </w:rPr>
        <w:t>Одлаже се Попис становништва, домаћинстава и станова 2021.</w:t>
      </w:r>
    </w:p>
    <w:p w:rsidR="0023377E" w:rsidRPr="0023377E" w:rsidRDefault="0023377E" w:rsidP="0023377E">
      <w:pPr>
        <w:tabs>
          <w:tab w:val="left" w:pos="900"/>
        </w:tabs>
        <w:spacing w:before="120" w:after="0" w:line="16" w:lineRule="atLeast"/>
        <w:jc w:val="both"/>
        <w:rPr>
          <w:rFonts w:ascii="Arial" w:eastAsia="Times New Roman" w:hAnsi="Arial" w:cs="Times New Roman"/>
          <w:lang w:val="sr-Cyrl-RS"/>
        </w:rPr>
      </w:pPr>
      <w:r w:rsidRPr="0023377E">
        <w:rPr>
          <w:rFonts w:ascii="Arial" w:eastAsia="Times New Roman" w:hAnsi="Arial" w:cs="Times New Roman"/>
          <w:lang w:val="sr-Cyrl-RS"/>
        </w:rPr>
        <w:tab/>
      </w:r>
    </w:p>
    <w:p w:rsidR="0023377E" w:rsidRPr="0023377E" w:rsidRDefault="0023377E" w:rsidP="0023377E">
      <w:pPr>
        <w:tabs>
          <w:tab w:val="left" w:pos="4962"/>
        </w:tabs>
        <w:spacing w:after="0" w:line="16" w:lineRule="atLeast"/>
        <w:ind w:firstLine="720"/>
        <w:jc w:val="both"/>
        <w:rPr>
          <w:rFonts w:ascii="Arial" w:eastAsia="Times New Roman" w:hAnsi="Arial" w:cs="Times New Roman"/>
          <w:lang w:val="sr-Cyrl-RS"/>
        </w:rPr>
      </w:pPr>
      <w:r w:rsidRPr="0023377E">
        <w:rPr>
          <w:rFonts w:ascii="Arial" w:eastAsia="Times New Roman" w:hAnsi="Arial" w:cs="Times New Roman"/>
          <w:lang w:val="sr-Cyrl-RS"/>
        </w:rPr>
        <w:t xml:space="preserve">Базирајући се на резултатима свеобухватне анализе и процене ризика, Републички завод за статистику донео је одлуку да због неповољне епидемиолошке ситуације проузроковане пандемијом </w:t>
      </w:r>
      <w:r w:rsidRPr="0023377E">
        <w:rPr>
          <w:rFonts w:ascii="Arial" w:eastAsia="Times New Roman" w:hAnsi="Arial" w:cs="Times New Roman"/>
        </w:rPr>
        <w:t>COVID</w:t>
      </w:r>
      <w:r w:rsidRPr="0023377E">
        <w:rPr>
          <w:rFonts w:ascii="Arial" w:eastAsia="Times New Roman" w:hAnsi="Arial" w:cs="Times New Roman"/>
          <w:lang w:val="sr-Cyrl-RS"/>
        </w:rPr>
        <w:t>-</w:t>
      </w:r>
      <w:r w:rsidRPr="0023377E">
        <w:rPr>
          <w:rFonts w:ascii="Arial" w:eastAsia="Times New Roman" w:hAnsi="Arial" w:cs="Times New Roman"/>
        </w:rPr>
        <w:t>19,</w:t>
      </w:r>
      <w:r w:rsidRPr="0023377E">
        <w:rPr>
          <w:rFonts w:ascii="Arial" w:eastAsia="Times New Roman" w:hAnsi="Arial" w:cs="Times New Roman"/>
          <w:lang w:val="sr-Cyrl-RS"/>
        </w:rPr>
        <w:t xml:space="preserve"> која може битно да угрози припреме и теренску реализацију Пописа 2021, </w:t>
      </w:r>
      <w:proofErr w:type="spellStart"/>
      <w:r w:rsidRPr="0023377E">
        <w:rPr>
          <w:rFonts w:ascii="Arial" w:eastAsia="Times New Roman" w:hAnsi="Arial" w:cs="Times New Roman"/>
          <w:lang w:val="sr-Cyrl-RS"/>
        </w:rPr>
        <w:t>спров</w:t>
      </w:r>
      <w:proofErr w:type="spellEnd"/>
      <w:r w:rsidRPr="0023377E">
        <w:rPr>
          <w:rFonts w:ascii="Arial" w:eastAsia="Times New Roman" w:hAnsi="Arial" w:cs="Times New Roman"/>
          <w:lang w:val="sr-Latn-RS"/>
        </w:rPr>
        <w:t>o</w:t>
      </w:r>
      <w:proofErr w:type="spellStart"/>
      <w:r w:rsidRPr="0023377E">
        <w:rPr>
          <w:rFonts w:ascii="Arial" w:eastAsia="Times New Roman" w:hAnsi="Arial" w:cs="Times New Roman"/>
          <w:lang w:val="sr-Cyrl-RS"/>
        </w:rPr>
        <w:t>ђење</w:t>
      </w:r>
      <w:proofErr w:type="spellEnd"/>
      <w:r w:rsidRPr="0023377E">
        <w:rPr>
          <w:rFonts w:ascii="Arial" w:eastAsia="Times New Roman" w:hAnsi="Arial" w:cs="Times New Roman"/>
          <w:lang w:val="sr-Cyrl-RS"/>
        </w:rPr>
        <w:t xml:space="preserve"> овог најкомплекснијег и најскупљег статистичког истраживања одложи за шест месеци, односно да се теренска реализација пописа уместо у априлу спроведе у октобру 2021. године. </w:t>
      </w:r>
    </w:p>
    <w:p w:rsidR="008842D1" w:rsidRDefault="008842D1" w:rsidP="0023377E">
      <w:pPr>
        <w:tabs>
          <w:tab w:val="left" w:pos="4962"/>
        </w:tabs>
        <w:spacing w:after="0" w:line="16" w:lineRule="atLeast"/>
        <w:ind w:firstLine="720"/>
        <w:jc w:val="both"/>
        <w:rPr>
          <w:rFonts w:ascii="Arial" w:eastAsia="Times New Roman" w:hAnsi="Arial" w:cs="Times New Roman"/>
          <w:lang w:val="sr-Cyrl-CS"/>
        </w:rPr>
      </w:pPr>
    </w:p>
    <w:p w:rsidR="0023377E" w:rsidRPr="0023377E" w:rsidRDefault="0023377E" w:rsidP="0023377E">
      <w:pPr>
        <w:tabs>
          <w:tab w:val="left" w:pos="4962"/>
        </w:tabs>
        <w:spacing w:after="0" w:line="16" w:lineRule="atLeast"/>
        <w:ind w:firstLine="720"/>
        <w:jc w:val="both"/>
        <w:rPr>
          <w:rFonts w:ascii="Arial" w:eastAsia="Times New Roman" w:hAnsi="Arial" w:cs="Times New Roman"/>
          <w:lang w:val="sr-Cyrl-RS"/>
        </w:rPr>
      </w:pPr>
      <w:proofErr w:type="spellStart"/>
      <w:r w:rsidRPr="0023377E">
        <w:rPr>
          <w:rFonts w:ascii="Arial" w:eastAsia="Times New Roman" w:hAnsi="Arial" w:cs="Times New Roman"/>
          <w:lang w:val="sr-Cyrl-CS"/>
        </w:rPr>
        <w:t>Републичк</w:t>
      </w:r>
      <w:proofErr w:type="spellEnd"/>
      <w:r w:rsidRPr="0023377E">
        <w:rPr>
          <w:rFonts w:ascii="Arial" w:eastAsia="Times New Roman" w:hAnsi="Arial" w:cs="Times New Roman"/>
          <w:lang w:val="sr-Cyrl-RS"/>
        </w:rPr>
        <w:t>и</w:t>
      </w:r>
      <w:r w:rsidRPr="0023377E">
        <w:rPr>
          <w:rFonts w:ascii="Arial" w:eastAsia="Times New Roman" w:hAnsi="Arial" w:cs="Times New Roman"/>
          <w:lang w:val="sr-Cyrl-CS"/>
        </w:rPr>
        <w:t xml:space="preserve"> завод за статистику </w:t>
      </w:r>
      <w:r w:rsidRPr="0023377E">
        <w:rPr>
          <w:rFonts w:ascii="Arial" w:eastAsia="Times New Roman" w:hAnsi="Arial" w:cs="Times New Roman"/>
          <w:lang w:val="sr-Cyrl-RS"/>
        </w:rPr>
        <w:t xml:space="preserve">је без обзира на неповољну епидемиолошку ситуацију </w:t>
      </w:r>
      <w:r w:rsidRPr="0023377E">
        <w:rPr>
          <w:rFonts w:ascii="Arial" w:eastAsia="Times New Roman" w:hAnsi="Arial" w:cs="Arial"/>
          <w:lang w:val="sr-Cyrl-RS"/>
        </w:rPr>
        <w:t xml:space="preserve">успео, првенствено захваљујући доброј организацији рада у ванредним околностима и свесрдном залагању запослених, да реализује све до сада планиране активности </w:t>
      </w:r>
      <w:r w:rsidRPr="0023377E">
        <w:rPr>
          <w:rFonts w:ascii="Arial" w:eastAsia="Times New Roman" w:hAnsi="Arial" w:cs="Times New Roman"/>
          <w:lang w:val="sr-Cyrl-RS"/>
        </w:rPr>
        <w:t xml:space="preserve">на припремама Пописа </w:t>
      </w:r>
      <w:r w:rsidRPr="0023377E">
        <w:rPr>
          <w:rFonts w:ascii="Arial" w:eastAsia="Times New Roman" w:hAnsi="Arial" w:cs="Times New Roman"/>
          <w:lang w:val="sr-Latn-RS"/>
        </w:rPr>
        <w:t>2021,</w:t>
      </w:r>
      <w:r w:rsidRPr="0023377E">
        <w:rPr>
          <w:rFonts w:ascii="Arial" w:eastAsia="Times New Roman" w:hAnsi="Arial" w:cs="Times New Roman"/>
          <w:lang w:val="sr-Cyrl-CS"/>
        </w:rPr>
        <w:t xml:space="preserve"> чија је теренска реализација</w:t>
      </w:r>
      <w:r w:rsidRPr="0023377E">
        <w:rPr>
          <w:rFonts w:ascii="Arial" w:eastAsia="Times New Roman" w:hAnsi="Arial" w:cs="Times New Roman"/>
          <w:lang w:val="sr-Cyrl-RS"/>
        </w:rPr>
        <w:t xml:space="preserve">, у складу са Законом о Попису становништва, домаћинстава и станова 2021. године </w:t>
      </w:r>
      <w:r>
        <w:rPr>
          <w:rFonts w:ascii="Arial" w:eastAsia="Times New Roman" w:hAnsi="Arial" w:cs="Times New Roman"/>
        </w:rPr>
        <w:t xml:space="preserve">                              </w:t>
      </w:r>
      <w:r w:rsidRPr="0023377E">
        <w:rPr>
          <w:rFonts w:ascii="Arial" w:eastAsia="Times New Roman" w:hAnsi="Arial" w:cs="Times New Roman"/>
          <w:lang w:val="sr-Cyrl-RS"/>
        </w:rPr>
        <w:t>(„</w:t>
      </w:r>
      <w:proofErr w:type="spellStart"/>
      <w:r w:rsidRPr="0023377E">
        <w:rPr>
          <w:rFonts w:ascii="Arial" w:eastAsia="Times New Roman" w:hAnsi="Arial" w:cs="Times New Roman"/>
          <w:lang w:val="sr-Cyrl-RS"/>
        </w:rPr>
        <w:t>Сл</w:t>
      </w:r>
      <w:proofErr w:type="spellEnd"/>
      <w:r w:rsidRPr="0023377E">
        <w:rPr>
          <w:rFonts w:ascii="Arial" w:eastAsia="Times New Roman" w:hAnsi="Arial" w:cs="Times New Roman"/>
          <w:lang w:val="sr-Cyrl-RS"/>
        </w:rPr>
        <w:t>. гласник РС”, бр. 9/2020), предвиђена</w:t>
      </w:r>
      <w:r w:rsidRPr="0023377E">
        <w:rPr>
          <w:rFonts w:ascii="Arial" w:eastAsia="Times New Roman" w:hAnsi="Arial" w:cs="Times New Roman"/>
          <w:lang w:val="sr-Cyrl-CS"/>
        </w:rPr>
        <w:t xml:space="preserve"> за април 2021. године</w:t>
      </w:r>
      <w:r w:rsidRPr="0023377E">
        <w:rPr>
          <w:rFonts w:ascii="Arial" w:eastAsia="Times New Roman" w:hAnsi="Arial" w:cs="Times New Roman"/>
          <w:lang w:val="sr-Cyrl-RS"/>
        </w:rPr>
        <w:t xml:space="preserve">. </w:t>
      </w:r>
    </w:p>
    <w:p w:rsidR="008842D1" w:rsidRDefault="008842D1" w:rsidP="0023377E">
      <w:pPr>
        <w:tabs>
          <w:tab w:val="left" w:pos="4962"/>
        </w:tabs>
        <w:spacing w:after="0" w:line="16" w:lineRule="atLeast"/>
        <w:ind w:firstLine="720"/>
        <w:jc w:val="both"/>
        <w:rPr>
          <w:rFonts w:ascii="Arial" w:eastAsia="Times New Roman" w:hAnsi="Arial" w:cs="Times New Roman"/>
          <w:lang w:val="sr-Cyrl-RS"/>
        </w:rPr>
      </w:pPr>
    </w:p>
    <w:p w:rsidR="0023377E" w:rsidRPr="0023377E" w:rsidRDefault="0023377E" w:rsidP="0023377E">
      <w:pPr>
        <w:tabs>
          <w:tab w:val="left" w:pos="4962"/>
        </w:tabs>
        <w:spacing w:after="0" w:line="16" w:lineRule="atLeast"/>
        <w:ind w:firstLine="720"/>
        <w:jc w:val="both"/>
        <w:rPr>
          <w:rFonts w:ascii="Arial" w:eastAsia="Times New Roman" w:hAnsi="Arial" w:cs="Times New Roman"/>
        </w:rPr>
      </w:pPr>
      <w:r w:rsidRPr="0023377E">
        <w:rPr>
          <w:rFonts w:ascii="Arial" w:eastAsia="Times New Roman" w:hAnsi="Arial" w:cs="Times New Roman"/>
          <w:lang w:val="sr-Cyrl-RS"/>
        </w:rPr>
        <w:t xml:space="preserve">Међутим, у наредном периоду потребно је реализовати низ активности које захтевају директан контакт, како запослених у Заводу са непосредним учесницима у попису (инструкторима, пописивачима, члановима пописних комисија и другим лицима ангажованим за пописивање специфичних категорија становништва), тако и директан контакт инструктора и пописивача са грађанима. Као најризичније су препознате следеће активности: (1) селекција и обука око 20 000 кандидата за инструкторе и пописиваче </w:t>
      </w:r>
      <w:r>
        <w:rPr>
          <w:rFonts w:ascii="Arial" w:eastAsia="Times New Roman" w:hAnsi="Arial" w:cs="Times New Roman"/>
        </w:rPr>
        <w:t xml:space="preserve">     </w:t>
      </w:r>
      <w:r w:rsidRPr="0023377E">
        <w:rPr>
          <w:rFonts w:ascii="Arial" w:eastAsia="Times New Roman" w:hAnsi="Arial" w:cs="Times New Roman"/>
          <w:lang w:val="sr-Cyrl-RS"/>
        </w:rPr>
        <w:t xml:space="preserve">(у периоду </w:t>
      </w:r>
      <w:proofErr w:type="spellStart"/>
      <w:r w:rsidRPr="0023377E">
        <w:rPr>
          <w:rFonts w:ascii="Arial" w:eastAsia="Times New Roman" w:hAnsi="Arial" w:cs="Times New Roman"/>
          <w:lang w:val="sr-Cyrl-RS"/>
        </w:rPr>
        <w:t>јануар–март</w:t>
      </w:r>
      <w:proofErr w:type="spellEnd"/>
      <w:r w:rsidRPr="0023377E">
        <w:rPr>
          <w:rFonts w:ascii="Arial" w:eastAsia="Times New Roman" w:hAnsi="Arial" w:cs="Times New Roman"/>
          <w:lang w:val="sr-Cyrl-RS"/>
        </w:rPr>
        <w:t xml:space="preserve">) и (2) теренско прикупљање података у априлу 2021. када 15 000 пописивача треба да изађе на терен и да у року од месец дана обиђе сваки стан/кућу и да попише комплетно становништво, укључујући и лица смештена у старачким домовима, психијатријским болницама, домовима за децу без родитељског старања, студенте и ученике у домовима и интернатима, </w:t>
      </w:r>
      <w:proofErr w:type="spellStart"/>
      <w:r w:rsidRPr="0023377E">
        <w:rPr>
          <w:rFonts w:ascii="Arial" w:eastAsia="Times New Roman" w:hAnsi="Arial" w:cs="Times New Roman"/>
          <w:lang w:val="sr-Cyrl-RS"/>
        </w:rPr>
        <w:t>мигранте</w:t>
      </w:r>
      <w:proofErr w:type="spellEnd"/>
      <w:r w:rsidRPr="0023377E">
        <w:rPr>
          <w:rFonts w:ascii="Arial" w:eastAsia="Times New Roman" w:hAnsi="Arial" w:cs="Times New Roman"/>
          <w:lang w:val="sr-Cyrl-RS"/>
        </w:rPr>
        <w:t xml:space="preserve"> у прихватним центрима и друге категорије становништва у колективном смештају које су у већем ризику од </w:t>
      </w:r>
      <w:proofErr w:type="spellStart"/>
      <w:r w:rsidRPr="0023377E">
        <w:rPr>
          <w:rFonts w:ascii="Arial" w:eastAsia="Times New Roman" w:hAnsi="Arial" w:cs="Times New Roman"/>
          <w:lang w:val="sr-Cyrl-RS"/>
        </w:rPr>
        <w:t>заражавања</w:t>
      </w:r>
      <w:proofErr w:type="spellEnd"/>
      <w:r w:rsidRPr="0023377E">
        <w:rPr>
          <w:rFonts w:ascii="Arial" w:eastAsia="Times New Roman" w:hAnsi="Arial" w:cs="Times New Roman"/>
          <w:lang w:val="sr-Cyrl-RS"/>
        </w:rPr>
        <w:t xml:space="preserve">. </w:t>
      </w:r>
    </w:p>
    <w:p w:rsidR="008842D1" w:rsidRDefault="0023377E" w:rsidP="0023377E">
      <w:pPr>
        <w:tabs>
          <w:tab w:val="left" w:pos="4962"/>
        </w:tabs>
        <w:spacing w:after="0" w:line="16" w:lineRule="atLeast"/>
        <w:ind w:firstLine="720"/>
        <w:jc w:val="both"/>
        <w:rPr>
          <w:rFonts w:ascii="Arial" w:eastAsia="Times New Roman" w:hAnsi="Arial" w:cs="Arial"/>
          <w:lang w:val="sr-Cyrl-RS"/>
        </w:rPr>
      </w:pPr>
      <w:r w:rsidRPr="0023377E">
        <w:rPr>
          <w:rFonts w:ascii="Arial" w:eastAsia="Times New Roman" w:hAnsi="Arial" w:cs="Arial"/>
          <w:lang w:val="sr-Cyrl-RS"/>
        </w:rPr>
        <w:t xml:space="preserve"> </w:t>
      </w:r>
    </w:p>
    <w:p w:rsidR="0023377E" w:rsidRPr="0023377E" w:rsidRDefault="0023377E" w:rsidP="0023377E">
      <w:pPr>
        <w:tabs>
          <w:tab w:val="left" w:pos="4962"/>
        </w:tabs>
        <w:spacing w:after="0" w:line="16" w:lineRule="atLeast"/>
        <w:ind w:firstLine="720"/>
        <w:jc w:val="both"/>
        <w:rPr>
          <w:rFonts w:ascii="Arial" w:eastAsia="Times New Roman" w:hAnsi="Arial" w:cs="Arial"/>
          <w:lang w:val="sr-Cyrl-RS"/>
        </w:rPr>
      </w:pPr>
      <w:r w:rsidRPr="0023377E">
        <w:rPr>
          <w:rFonts w:ascii="Arial" w:eastAsia="Times New Roman" w:hAnsi="Arial" w:cs="Arial"/>
          <w:lang w:val="sr-Cyrl-RS"/>
        </w:rPr>
        <w:t xml:space="preserve">Имајући у виду наведене активности и рокове за њихову реализацију, али и неизвесну епидемиолошку ситуацију и опасност од ширења заразне болести током спровођења пописних радњи, након консултација са епидемиолозима и опсежне анализе различитих сценарија, одлучено је да се Попис 2021. одложи за шест месеци. </w:t>
      </w:r>
    </w:p>
    <w:p w:rsidR="008842D1" w:rsidRDefault="008842D1" w:rsidP="0023377E">
      <w:pPr>
        <w:tabs>
          <w:tab w:val="left" w:pos="4962"/>
        </w:tabs>
        <w:spacing w:after="0" w:line="16" w:lineRule="atLeast"/>
        <w:ind w:firstLine="720"/>
        <w:jc w:val="both"/>
        <w:rPr>
          <w:rFonts w:ascii="Arial" w:eastAsia="Times New Roman" w:hAnsi="Arial" w:cs="Times New Roman"/>
          <w:lang w:val="sr-Cyrl-RS"/>
        </w:rPr>
      </w:pPr>
    </w:p>
    <w:p w:rsidR="0023377E" w:rsidRPr="0023377E" w:rsidRDefault="0023377E" w:rsidP="0023377E">
      <w:pPr>
        <w:tabs>
          <w:tab w:val="left" w:pos="4962"/>
        </w:tabs>
        <w:spacing w:after="0" w:line="16" w:lineRule="atLeast"/>
        <w:ind w:firstLine="720"/>
        <w:jc w:val="both"/>
        <w:rPr>
          <w:rFonts w:ascii="Arial" w:eastAsia="Times New Roman" w:hAnsi="Arial" w:cs="Times New Roman"/>
          <w:lang w:val="sr-Cyrl-RS"/>
        </w:rPr>
      </w:pPr>
      <w:r w:rsidRPr="0023377E">
        <w:rPr>
          <w:rFonts w:ascii="Arial" w:eastAsia="Times New Roman" w:hAnsi="Arial" w:cs="Times New Roman"/>
          <w:lang w:val="sr-Cyrl-RS"/>
        </w:rPr>
        <w:t>Одлука о одлагању Пописа 2021. није лако донета и заснива се на више фактора, при чему је најважниј</w:t>
      </w:r>
      <w:r>
        <w:rPr>
          <w:rFonts w:ascii="Arial" w:eastAsia="Times New Roman" w:hAnsi="Arial" w:cs="Times New Roman"/>
          <w:lang w:val="sr-Cyrl-RS"/>
        </w:rPr>
        <w:t>и –</w:t>
      </w:r>
      <w:r w:rsidRPr="0023377E">
        <w:rPr>
          <w:rFonts w:ascii="Arial" w:eastAsia="Times New Roman" w:hAnsi="Arial" w:cs="Times New Roman"/>
          <w:lang w:val="sr-Cyrl-RS"/>
        </w:rPr>
        <w:t xml:space="preserve"> потреба да се осигура безбедност грађана</w:t>
      </w:r>
      <w:r>
        <w:rPr>
          <w:rFonts w:ascii="Arial" w:eastAsia="Times New Roman" w:hAnsi="Arial" w:cs="Times New Roman"/>
          <w:lang w:val="sr-Cyrl-RS"/>
        </w:rPr>
        <w:t xml:space="preserve"> и директних учесника у попису –</w:t>
      </w:r>
      <w:r w:rsidRPr="0023377E">
        <w:rPr>
          <w:rFonts w:ascii="Arial" w:eastAsia="Times New Roman" w:hAnsi="Arial" w:cs="Times New Roman"/>
          <w:lang w:val="sr-Cyrl-RS"/>
        </w:rPr>
        <w:t xml:space="preserve"> заједно са потребом за реализацијом свеобухватног пописа који ће пружити </w:t>
      </w:r>
      <w:proofErr w:type="spellStart"/>
      <w:r w:rsidRPr="0023377E">
        <w:rPr>
          <w:rFonts w:ascii="Arial" w:eastAsia="Times New Roman" w:hAnsi="Arial" w:cs="Times New Roman"/>
          <w:lang w:val="sr-Cyrl-RS"/>
        </w:rPr>
        <w:t>ажурнe</w:t>
      </w:r>
      <w:proofErr w:type="spellEnd"/>
      <w:r w:rsidRPr="0023377E">
        <w:rPr>
          <w:rFonts w:ascii="Arial" w:eastAsia="Times New Roman" w:hAnsi="Arial" w:cs="Times New Roman"/>
          <w:lang w:val="sr-Cyrl-RS"/>
        </w:rPr>
        <w:t xml:space="preserve">, </w:t>
      </w:r>
      <w:proofErr w:type="spellStart"/>
      <w:r w:rsidRPr="0023377E">
        <w:rPr>
          <w:rFonts w:ascii="Arial" w:eastAsia="Times New Roman" w:hAnsi="Arial" w:cs="Times New Roman"/>
          <w:lang w:val="sr-Cyrl-RS"/>
        </w:rPr>
        <w:t>квалитетнe</w:t>
      </w:r>
      <w:proofErr w:type="spellEnd"/>
      <w:r w:rsidRPr="0023377E">
        <w:rPr>
          <w:rFonts w:ascii="Arial" w:eastAsia="Times New Roman" w:hAnsi="Arial" w:cs="Times New Roman"/>
          <w:lang w:val="sr-Cyrl-RS"/>
        </w:rPr>
        <w:t xml:space="preserve"> и </w:t>
      </w:r>
      <w:proofErr w:type="spellStart"/>
      <w:r w:rsidRPr="0023377E">
        <w:rPr>
          <w:rFonts w:ascii="Arial" w:eastAsia="Times New Roman" w:hAnsi="Arial" w:cs="Times New Roman"/>
          <w:lang w:val="sr-Cyrl-RS"/>
        </w:rPr>
        <w:t>поузданe</w:t>
      </w:r>
      <w:proofErr w:type="spellEnd"/>
      <w:r w:rsidRPr="0023377E">
        <w:rPr>
          <w:rFonts w:ascii="Arial" w:eastAsia="Times New Roman" w:hAnsi="Arial" w:cs="Times New Roman"/>
          <w:lang w:val="sr-Cyrl-RS"/>
        </w:rPr>
        <w:t xml:space="preserve"> податке. </w:t>
      </w:r>
    </w:p>
    <w:p w:rsidR="008842D1" w:rsidRDefault="008842D1" w:rsidP="0023377E">
      <w:pPr>
        <w:tabs>
          <w:tab w:val="left" w:pos="4962"/>
        </w:tabs>
        <w:spacing w:after="0" w:line="16" w:lineRule="atLeast"/>
        <w:ind w:firstLine="720"/>
        <w:jc w:val="both"/>
        <w:rPr>
          <w:rFonts w:ascii="Arial" w:eastAsia="Times New Roman" w:hAnsi="Arial" w:cs="Arial"/>
          <w:lang w:val="sr-Cyrl-RS"/>
        </w:rPr>
      </w:pPr>
    </w:p>
    <w:p w:rsidR="006B4CF5" w:rsidRDefault="0023377E" w:rsidP="0023377E">
      <w:pPr>
        <w:tabs>
          <w:tab w:val="left" w:pos="4962"/>
        </w:tabs>
        <w:spacing w:after="0" w:line="16" w:lineRule="atLeast"/>
        <w:ind w:firstLine="720"/>
        <w:jc w:val="both"/>
        <w:rPr>
          <w:rFonts w:ascii="Arial" w:eastAsia="Times New Roman" w:hAnsi="Arial" w:cs="Times New Roman"/>
          <w:lang w:val="sr-Cyrl-RS"/>
        </w:rPr>
      </w:pPr>
      <w:r w:rsidRPr="0023377E">
        <w:rPr>
          <w:rFonts w:ascii="Arial" w:eastAsia="Times New Roman" w:hAnsi="Arial" w:cs="Arial"/>
          <w:lang w:val="sr-Cyrl-RS"/>
        </w:rPr>
        <w:t>Током доношења одлуке о одлагању пописа ра</w:t>
      </w:r>
      <w:r w:rsidRPr="0023377E">
        <w:rPr>
          <w:rFonts w:ascii="Arial" w:eastAsia="Times New Roman" w:hAnsi="Arial" w:cs="Times New Roman"/>
          <w:lang w:val="sr-Cyrl-RS"/>
        </w:rPr>
        <w:t xml:space="preserve">зматране су и информације о плановима других земаља које примењују исти метод пописивања. Све државе које спроводе традиционални попис (методом интервјуа) суочавају се са изазовима које се тичу кључних активности као што су селекција, обука кандидата, логистика и теренско прикупљање података. Став </w:t>
      </w:r>
      <w:proofErr w:type="spellStart"/>
      <w:r w:rsidRPr="0023377E">
        <w:rPr>
          <w:rFonts w:ascii="Arial" w:eastAsia="Times New Roman" w:hAnsi="Arial" w:cs="Times New Roman"/>
          <w:lang w:val="sr-Cyrl-RS"/>
        </w:rPr>
        <w:t>Евростата</w:t>
      </w:r>
      <w:proofErr w:type="spellEnd"/>
      <w:r w:rsidRPr="0023377E">
        <w:rPr>
          <w:rFonts w:ascii="Arial" w:eastAsia="Times New Roman" w:hAnsi="Arial" w:cs="Times New Roman"/>
          <w:lang w:val="sr-Cyrl-RS"/>
        </w:rPr>
        <w:t xml:space="preserve"> је да пандемија </w:t>
      </w:r>
      <w:proofErr w:type="spellStart"/>
      <w:r w:rsidRPr="0023377E">
        <w:rPr>
          <w:rFonts w:ascii="Arial" w:eastAsia="Times New Roman" w:hAnsi="Arial" w:cs="Times New Roman"/>
          <w:lang w:val="sr-Cyrl-RS"/>
        </w:rPr>
        <w:t>коронавируса</w:t>
      </w:r>
      <w:proofErr w:type="spellEnd"/>
      <w:r w:rsidRPr="0023377E">
        <w:rPr>
          <w:rFonts w:ascii="Arial" w:eastAsia="Times New Roman" w:hAnsi="Arial" w:cs="Times New Roman"/>
          <w:lang w:val="sr-Cyrl-RS"/>
        </w:rPr>
        <w:t xml:space="preserve"> има директан утицај на производњу европских статистика и да је све јасније да се многе државе суочавају са значајним потешкоћама у спровођењу пописа. Година која претходи теренском спровођењу пописа кључна је за планирање и тестирање ефикасности система и процеса, што није могло бити реализовано услед ограничења проузрокованих пандемијом. Из тог разлога, Шкотска и Ирска које су планирале да спроведу попис у априлу 2021, званично су одложиле попис за април 2022. Остале европске државе разматрају различите сценарије, прилагођавају планове и развијају додатне стратегије за спровођење пописа</w:t>
      </w:r>
      <w:r w:rsidRPr="0023377E">
        <w:rPr>
          <w:rFonts w:ascii="Arial" w:eastAsia="Times New Roman" w:hAnsi="Arial" w:cs="Times New Roman"/>
        </w:rPr>
        <w:t>.</w:t>
      </w:r>
      <w:r w:rsidRPr="0023377E">
        <w:rPr>
          <w:rFonts w:ascii="Arial" w:eastAsia="Times New Roman" w:hAnsi="Arial" w:cs="Times New Roman"/>
          <w:lang w:val="sr-Cyrl-RS"/>
        </w:rPr>
        <w:t xml:space="preserve"> У прилог доношењу одлуке о одлагању пописа јесте и препорука Одељења за </w:t>
      </w:r>
      <w:proofErr w:type="spellStart"/>
      <w:r w:rsidRPr="0023377E">
        <w:rPr>
          <w:rFonts w:ascii="Arial" w:eastAsia="Times New Roman" w:hAnsi="Arial" w:cs="Times New Roman"/>
        </w:rPr>
        <w:t>статистику</w:t>
      </w:r>
      <w:proofErr w:type="spellEnd"/>
      <w:r w:rsidRPr="0023377E">
        <w:rPr>
          <w:rFonts w:ascii="Arial" w:eastAsia="Times New Roman" w:hAnsi="Arial" w:cs="Times New Roman"/>
          <w:lang w:val="sr-Cyrl-RS"/>
        </w:rPr>
        <w:t xml:space="preserve"> Уједињених нација</w:t>
      </w:r>
      <w:r w:rsidRPr="0023377E">
        <w:rPr>
          <w:rFonts w:ascii="Arial" w:eastAsia="Times New Roman" w:hAnsi="Arial" w:cs="Times New Roman"/>
        </w:rPr>
        <w:t xml:space="preserve"> (UNSD)</w:t>
      </w:r>
      <w:r w:rsidRPr="0023377E">
        <w:rPr>
          <w:rFonts w:ascii="Arial" w:eastAsia="Times New Roman" w:hAnsi="Arial" w:cs="Times New Roman"/>
          <w:lang w:val="sr-Cyrl-RS"/>
        </w:rPr>
        <w:t xml:space="preserve"> и Популационог фонда Уједињених нација</w:t>
      </w:r>
      <w:r w:rsidRPr="0023377E">
        <w:rPr>
          <w:rFonts w:ascii="Arial" w:eastAsia="Times New Roman" w:hAnsi="Arial" w:cs="Times New Roman"/>
        </w:rPr>
        <w:t xml:space="preserve"> (UNFPA) </w:t>
      </w:r>
      <w:r w:rsidRPr="0023377E">
        <w:rPr>
          <w:rFonts w:ascii="Arial" w:eastAsia="Times New Roman" w:hAnsi="Arial" w:cs="Times New Roman"/>
          <w:lang w:val="sr-Cyrl-RS"/>
        </w:rPr>
        <w:t>који су у контексту негативног утицаја актуелне пандемије, у септембру 2020</w:t>
      </w:r>
      <w:r w:rsidRPr="0023377E">
        <w:rPr>
          <w:rFonts w:ascii="Arial" w:eastAsia="Times New Roman" w:hAnsi="Arial" w:cs="Times New Roman"/>
        </w:rPr>
        <w:t xml:space="preserve">. </w:t>
      </w:r>
      <w:r w:rsidRPr="0023377E">
        <w:rPr>
          <w:rFonts w:ascii="Arial" w:eastAsia="Times New Roman" w:hAnsi="Arial" w:cs="Times New Roman"/>
          <w:lang w:val="sr-Cyrl-RS"/>
        </w:rPr>
        <w:t xml:space="preserve">издали сет препорука у којима, као најразумније решење, предлажу одлагање пописа у државама које су </w:t>
      </w:r>
      <w:proofErr w:type="spellStart"/>
      <w:r w:rsidRPr="0023377E">
        <w:rPr>
          <w:rFonts w:ascii="Arial" w:eastAsia="Times New Roman" w:hAnsi="Arial" w:cs="Times New Roman"/>
          <w:lang w:val="sr-Cyrl-RS"/>
        </w:rPr>
        <w:t>интензивирале</w:t>
      </w:r>
      <w:proofErr w:type="spellEnd"/>
      <w:r w:rsidRPr="0023377E">
        <w:rPr>
          <w:rFonts w:ascii="Arial" w:eastAsia="Times New Roman" w:hAnsi="Arial" w:cs="Times New Roman"/>
          <w:lang w:val="sr-Cyrl-RS"/>
        </w:rPr>
        <w:t xml:space="preserve"> припремне активности </w:t>
      </w:r>
    </w:p>
    <w:p w:rsidR="0023377E" w:rsidRPr="0023377E" w:rsidRDefault="0023377E" w:rsidP="006B4CF5">
      <w:pPr>
        <w:tabs>
          <w:tab w:val="left" w:pos="4962"/>
        </w:tabs>
        <w:spacing w:after="0" w:line="16" w:lineRule="atLeast"/>
        <w:jc w:val="both"/>
        <w:rPr>
          <w:rFonts w:ascii="Arial" w:eastAsia="Times New Roman" w:hAnsi="Arial" w:cs="Times New Roman"/>
          <w:color w:val="000000"/>
        </w:rPr>
      </w:pPr>
      <w:r w:rsidRPr="0023377E">
        <w:rPr>
          <w:rFonts w:ascii="Arial" w:eastAsia="Times New Roman" w:hAnsi="Arial" w:cs="Times New Roman"/>
          <w:lang w:val="sr-Cyrl-RS"/>
        </w:rPr>
        <w:t>-</w:t>
      </w:r>
      <w:r w:rsidRPr="0023377E">
        <w:rPr>
          <w:rFonts w:ascii="Arial" w:eastAsia="Times New Roman" w:hAnsi="Arial" w:cs="Times New Roman"/>
        </w:rPr>
        <w:t xml:space="preserve"> </w:t>
      </w:r>
      <w:hyperlink r:id="rId7" w:history="1">
        <w:r w:rsidRPr="0023377E">
          <w:rPr>
            <w:rFonts w:ascii="Arial" w:eastAsia="Times New Roman" w:hAnsi="Arial" w:cs="Times New Roman"/>
            <w:color w:val="0000FF"/>
            <w:u w:val="single"/>
            <w:lang w:val="sr-Cyrl-RS"/>
          </w:rPr>
          <w:t>https://unstats.un.org/unsd/demographic-social/census/documents/ppe_in_censuses.pdf</w:t>
        </w:r>
      </w:hyperlink>
      <w:r w:rsidR="006B4CF5">
        <w:rPr>
          <w:rFonts w:ascii="Arial" w:eastAsia="Times New Roman" w:hAnsi="Arial" w:cs="Times New Roman"/>
          <w:color w:val="000000"/>
          <w:lang w:val="sr-Cyrl-RS"/>
        </w:rPr>
        <w:t>.</w:t>
      </w:r>
    </w:p>
    <w:p w:rsidR="008842D1" w:rsidRDefault="008842D1" w:rsidP="0023377E">
      <w:pPr>
        <w:tabs>
          <w:tab w:val="left" w:pos="4962"/>
        </w:tabs>
        <w:spacing w:after="0" w:line="16" w:lineRule="atLeast"/>
        <w:ind w:firstLine="720"/>
        <w:jc w:val="both"/>
        <w:rPr>
          <w:rFonts w:ascii="Arial" w:eastAsia="Times New Roman" w:hAnsi="Arial" w:cs="Times New Roman"/>
          <w:lang w:val="sr-Cyrl-RS"/>
        </w:rPr>
      </w:pPr>
    </w:p>
    <w:p w:rsidR="008842D1" w:rsidRDefault="008842D1" w:rsidP="0023377E">
      <w:pPr>
        <w:tabs>
          <w:tab w:val="left" w:pos="4962"/>
        </w:tabs>
        <w:spacing w:after="0" w:line="16" w:lineRule="atLeast"/>
        <w:ind w:firstLine="720"/>
        <w:jc w:val="both"/>
        <w:rPr>
          <w:rFonts w:ascii="Arial" w:eastAsia="Times New Roman" w:hAnsi="Arial" w:cs="Times New Roman"/>
          <w:lang w:val="sr-Cyrl-RS"/>
        </w:rPr>
      </w:pPr>
    </w:p>
    <w:p w:rsidR="0023377E" w:rsidRPr="0023377E" w:rsidRDefault="0023377E" w:rsidP="0023377E">
      <w:pPr>
        <w:tabs>
          <w:tab w:val="left" w:pos="4962"/>
        </w:tabs>
        <w:spacing w:after="0" w:line="16" w:lineRule="atLeast"/>
        <w:ind w:firstLine="720"/>
        <w:jc w:val="both"/>
        <w:rPr>
          <w:rFonts w:ascii="Arial" w:eastAsia="Times New Roman" w:hAnsi="Arial" w:cs="Times New Roman"/>
          <w:lang w:val="sr-Cyrl-RS"/>
        </w:rPr>
      </w:pPr>
      <w:r w:rsidRPr="0023377E">
        <w:rPr>
          <w:rFonts w:ascii="Arial" w:eastAsia="Times New Roman" w:hAnsi="Arial" w:cs="Times New Roman"/>
          <w:lang w:val="sr-Cyrl-RS"/>
        </w:rPr>
        <w:t>Одлагање</w:t>
      </w:r>
      <w:r w:rsidRPr="0023377E">
        <w:rPr>
          <w:rFonts w:ascii="Arial" w:eastAsia="Times New Roman" w:hAnsi="Arial" w:cs="Times New Roman"/>
          <w:color w:val="FF0000"/>
          <w:lang w:val="sr-Cyrl-RS"/>
        </w:rPr>
        <w:t xml:space="preserve"> </w:t>
      </w:r>
      <w:r w:rsidRPr="0023377E">
        <w:rPr>
          <w:rFonts w:ascii="Arial" w:eastAsia="Times New Roman" w:hAnsi="Arial" w:cs="Times New Roman"/>
          <w:lang w:val="sr-Cyrl-RS"/>
        </w:rPr>
        <w:t xml:space="preserve">Пописа становништва, домаћинстава и станова 2021. неминовно намеће потребу да се Попис пољопривреде, који је био планиран за октобар 2021, одложи за 2022. годину. </w:t>
      </w:r>
    </w:p>
    <w:p w:rsidR="008842D1" w:rsidRDefault="008842D1" w:rsidP="0023377E">
      <w:pPr>
        <w:tabs>
          <w:tab w:val="left" w:pos="4962"/>
        </w:tabs>
        <w:spacing w:after="0" w:line="16" w:lineRule="atLeast"/>
        <w:ind w:firstLine="720"/>
        <w:jc w:val="both"/>
        <w:rPr>
          <w:rFonts w:ascii="Arial" w:eastAsia="Times New Roman" w:hAnsi="Arial" w:cs="Times New Roman"/>
          <w:lang w:val="sr-Cyrl-RS"/>
        </w:rPr>
      </w:pPr>
    </w:p>
    <w:p w:rsidR="0023377E" w:rsidRPr="0023377E" w:rsidRDefault="0023377E" w:rsidP="0023377E">
      <w:pPr>
        <w:tabs>
          <w:tab w:val="left" w:pos="4962"/>
        </w:tabs>
        <w:spacing w:after="0" w:line="16" w:lineRule="atLeast"/>
        <w:ind w:firstLine="720"/>
        <w:jc w:val="both"/>
        <w:rPr>
          <w:rFonts w:ascii="Arial" w:eastAsia="Times New Roman" w:hAnsi="Arial" w:cs="Arial"/>
          <w:sz w:val="20"/>
          <w:szCs w:val="20"/>
          <w:lang w:val="sr-Cyrl-CS"/>
        </w:rPr>
      </w:pPr>
      <w:r w:rsidRPr="0023377E">
        <w:rPr>
          <w:rFonts w:ascii="Arial" w:eastAsia="Times New Roman" w:hAnsi="Arial" w:cs="Times New Roman"/>
          <w:lang w:val="sr-Cyrl-RS"/>
        </w:rPr>
        <w:t>Републички завод за статистику ће и у наредном периоду континуирано пратити епидемиолошку ситуацију како би препознао и проценио све потенцијалне ризике и благовремено прилагодио планиране активности.</w:t>
      </w:r>
      <w:r w:rsidRPr="0023377E">
        <w:rPr>
          <w:rFonts w:ascii="Arial" w:eastAsia="Times New Roman" w:hAnsi="Arial" w:cs="Times New Roman"/>
          <w:color w:val="2E74B5"/>
          <w:lang w:val="sr-Cyrl-RS"/>
        </w:rPr>
        <w:tab/>
      </w:r>
      <w:r w:rsidRPr="0023377E">
        <w:rPr>
          <w:rFonts w:ascii="Arial" w:eastAsia="Times New Roman" w:hAnsi="Arial" w:cs="Times New Roman"/>
          <w:color w:val="2E74B5"/>
          <w:lang w:val="sr-Cyrl-RS"/>
        </w:rPr>
        <w:tab/>
      </w:r>
      <w:bookmarkStart w:id="0" w:name="_GoBack"/>
      <w:bookmarkEnd w:id="0"/>
      <w:r w:rsidRPr="0023377E">
        <w:rPr>
          <w:rFonts w:ascii="Arial" w:eastAsia="Times New Roman" w:hAnsi="Arial" w:cs="Times New Roman"/>
          <w:color w:val="2E74B5"/>
          <w:lang w:val="sr-Cyrl-RS"/>
        </w:rPr>
        <w:tab/>
      </w:r>
      <w:r w:rsidRPr="0023377E">
        <w:rPr>
          <w:rFonts w:ascii="Arial" w:eastAsia="Times New Roman" w:hAnsi="Arial" w:cs="Times New Roman"/>
          <w:color w:val="2E74B5"/>
          <w:lang w:val="sr-Cyrl-RS"/>
        </w:rPr>
        <w:tab/>
      </w:r>
      <w:r w:rsidRPr="0023377E">
        <w:rPr>
          <w:rFonts w:ascii="Arial" w:eastAsia="Times New Roman" w:hAnsi="Arial" w:cs="Times New Roman"/>
          <w:sz w:val="20"/>
          <w:szCs w:val="20"/>
          <w:lang w:val="sr-Cyrl-RS"/>
        </w:rPr>
        <w:tab/>
      </w:r>
      <w:r w:rsidRPr="0023377E">
        <w:rPr>
          <w:rFonts w:ascii="Arial" w:eastAsia="Times New Roman" w:hAnsi="Arial" w:cs="Times New Roman"/>
          <w:sz w:val="20"/>
          <w:szCs w:val="20"/>
          <w:lang w:val="sr-Cyrl-RS"/>
        </w:rPr>
        <w:tab/>
      </w:r>
    </w:p>
    <w:sectPr w:rsidR="0023377E" w:rsidRPr="0023377E" w:rsidSect="00A419CD">
      <w:headerReference w:type="default" r:id="rId8"/>
      <w:footerReference w:type="default" r:id="rId9"/>
      <w:pgSz w:w="11907" w:h="16840" w:code="9"/>
      <w:pgMar w:top="397" w:right="397" w:bottom="794" w:left="397" w:header="397" w:footer="73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3B9" w:rsidRDefault="000453B9" w:rsidP="0035472E">
      <w:pPr>
        <w:spacing w:after="0" w:line="240" w:lineRule="auto"/>
      </w:pPr>
      <w:r>
        <w:separator/>
      </w:r>
    </w:p>
  </w:endnote>
  <w:endnote w:type="continuationSeparator" w:id="0">
    <w:p w:rsidR="000453B9" w:rsidRDefault="000453B9" w:rsidP="00354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701"/>
      <w:gridCol w:w="3701"/>
      <w:gridCol w:w="3701"/>
    </w:tblGrid>
    <w:tr w:rsidR="005939EE" w:rsidTr="005939EE">
      <w:tc>
        <w:tcPr>
          <w:tcW w:w="3701" w:type="dxa"/>
        </w:tcPr>
        <w:p w:rsidR="00AB28E8" w:rsidRDefault="00AB28E8" w:rsidP="005939EE">
          <w:pPr>
            <w:pStyle w:val="Footer"/>
          </w:pPr>
        </w:p>
      </w:tc>
      <w:tc>
        <w:tcPr>
          <w:tcW w:w="3701" w:type="dxa"/>
          <w:vAlign w:val="center"/>
        </w:tcPr>
        <w:p w:rsidR="00AB28E8" w:rsidRDefault="00AB28E8" w:rsidP="005939EE">
          <w:pPr>
            <w:pStyle w:val="Footer"/>
            <w:spacing w:after="60"/>
            <w:jc w:val="center"/>
          </w:pPr>
        </w:p>
      </w:tc>
      <w:tc>
        <w:tcPr>
          <w:tcW w:w="3701" w:type="dxa"/>
        </w:tcPr>
        <w:p w:rsidR="00AB28E8" w:rsidRDefault="00AB28E8" w:rsidP="006952F0">
          <w:pPr>
            <w:pStyle w:val="Footer"/>
            <w:spacing w:line="288" w:lineRule="auto"/>
            <w:jc w:val="right"/>
            <w:rPr>
              <w:rFonts w:ascii="Arial" w:hAnsi="Arial" w:cs="Arial"/>
              <w:color w:val="606062"/>
              <w:sz w:val="14"/>
              <w:szCs w:val="14"/>
            </w:rPr>
          </w:pPr>
          <w:proofErr w:type="spellStart"/>
          <w:r w:rsidRPr="00AB28E8">
            <w:rPr>
              <w:rFonts w:ascii="Arial" w:hAnsi="Arial" w:cs="Arial"/>
              <w:color w:val="606062"/>
              <w:sz w:val="14"/>
              <w:szCs w:val="14"/>
            </w:rPr>
            <w:t>Републички</w:t>
          </w:r>
          <w:proofErr w:type="spellEnd"/>
          <w:r w:rsidRPr="00AB28E8">
            <w:rPr>
              <w:rFonts w:ascii="Arial" w:hAnsi="Arial" w:cs="Arial"/>
              <w:color w:val="606062"/>
              <w:sz w:val="14"/>
              <w:szCs w:val="14"/>
            </w:rPr>
            <w:t xml:space="preserve"> </w:t>
          </w:r>
          <w:proofErr w:type="spellStart"/>
          <w:r w:rsidRPr="00AB28E8">
            <w:rPr>
              <w:rFonts w:ascii="Arial" w:hAnsi="Arial" w:cs="Arial"/>
              <w:color w:val="606062"/>
              <w:sz w:val="14"/>
              <w:szCs w:val="14"/>
            </w:rPr>
            <w:t>завод</w:t>
          </w:r>
          <w:proofErr w:type="spellEnd"/>
          <w:r w:rsidRPr="00AB28E8">
            <w:rPr>
              <w:rFonts w:ascii="Arial" w:hAnsi="Arial" w:cs="Arial"/>
              <w:color w:val="606062"/>
              <w:sz w:val="14"/>
              <w:szCs w:val="14"/>
            </w:rPr>
            <w:t xml:space="preserve"> </w:t>
          </w:r>
          <w:proofErr w:type="spellStart"/>
          <w:r w:rsidRPr="00AB28E8">
            <w:rPr>
              <w:rFonts w:ascii="Arial" w:hAnsi="Arial" w:cs="Arial"/>
              <w:color w:val="606062"/>
              <w:sz w:val="14"/>
              <w:szCs w:val="14"/>
            </w:rPr>
            <w:t>за</w:t>
          </w:r>
          <w:proofErr w:type="spellEnd"/>
          <w:r w:rsidRPr="00AB28E8">
            <w:rPr>
              <w:rFonts w:ascii="Arial" w:hAnsi="Arial" w:cs="Arial"/>
              <w:color w:val="606062"/>
              <w:sz w:val="14"/>
              <w:szCs w:val="14"/>
            </w:rPr>
            <w:t xml:space="preserve"> </w:t>
          </w:r>
          <w:proofErr w:type="spellStart"/>
          <w:r w:rsidRPr="00AB28E8">
            <w:rPr>
              <w:rFonts w:ascii="Arial" w:hAnsi="Arial" w:cs="Arial"/>
              <w:color w:val="606062"/>
              <w:sz w:val="14"/>
              <w:szCs w:val="14"/>
            </w:rPr>
            <w:t>статистику</w:t>
          </w:r>
          <w:proofErr w:type="spellEnd"/>
          <w:r w:rsidRPr="00AB28E8">
            <w:rPr>
              <w:rFonts w:ascii="Arial" w:hAnsi="Arial" w:cs="Arial"/>
              <w:color w:val="606062"/>
              <w:sz w:val="14"/>
              <w:szCs w:val="14"/>
            </w:rPr>
            <w:t xml:space="preserve"> </w:t>
          </w:r>
        </w:p>
        <w:p w:rsidR="00AB28E8" w:rsidRDefault="00AB28E8" w:rsidP="006952F0">
          <w:pPr>
            <w:pStyle w:val="Footer"/>
            <w:spacing w:line="288" w:lineRule="auto"/>
            <w:jc w:val="right"/>
            <w:rPr>
              <w:rFonts w:ascii="Arial" w:hAnsi="Arial" w:cs="Arial"/>
              <w:color w:val="606062"/>
              <w:sz w:val="14"/>
              <w:szCs w:val="14"/>
            </w:rPr>
          </w:pPr>
          <w:proofErr w:type="spellStart"/>
          <w:r w:rsidRPr="00AB28E8">
            <w:rPr>
              <w:rFonts w:ascii="Arial" w:hAnsi="Arial" w:cs="Arial"/>
              <w:color w:val="606062"/>
              <w:sz w:val="14"/>
              <w:szCs w:val="14"/>
            </w:rPr>
            <w:t>Милана</w:t>
          </w:r>
          <w:proofErr w:type="spellEnd"/>
          <w:r w:rsidRPr="00AB28E8">
            <w:rPr>
              <w:rFonts w:ascii="Arial" w:hAnsi="Arial" w:cs="Arial"/>
              <w:color w:val="606062"/>
              <w:sz w:val="14"/>
              <w:szCs w:val="14"/>
            </w:rPr>
            <w:t xml:space="preserve"> </w:t>
          </w:r>
          <w:proofErr w:type="spellStart"/>
          <w:r w:rsidRPr="00AB28E8">
            <w:rPr>
              <w:rFonts w:ascii="Arial" w:hAnsi="Arial" w:cs="Arial"/>
              <w:color w:val="606062"/>
              <w:sz w:val="14"/>
              <w:szCs w:val="14"/>
            </w:rPr>
            <w:t>Ракића</w:t>
          </w:r>
          <w:proofErr w:type="spellEnd"/>
          <w:r w:rsidRPr="00AB28E8">
            <w:rPr>
              <w:rFonts w:ascii="Arial" w:hAnsi="Arial" w:cs="Arial"/>
              <w:color w:val="606062"/>
              <w:sz w:val="14"/>
              <w:szCs w:val="14"/>
            </w:rPr>
            <w:t xml:space="preserve"> 5, </w:t>
          </w:r>
          <w:proofErr w:type="spellStart"/>
          <w:r w:rsidRPr="00AB28E8">
            <w:rPr>
              <w:rFonts w:ascii="Arial" w:hAnsi="Arial" w:cs="Arial"/>
              <w:color w:val="606062"/>
              <w:sz w:val="14"/>
              <w:szCs w:val="14"/>
            </w:rPr>
            <w:t>Београд</w:t>
          </w:r>
          <w:proofErr w:type="spellEnd"/>
          <w:r w:rsidRPr="00AB28E8">
            <w:rPr>
              <w:rFonts w:ascii="Arial" w:hAnsi="Arial" w:cs="Arial"/>
              <w:color w:val="606062"/>
              <w:sz w:val="14"/>
              <w:szCs w:val="14"/>
            </w:rPr>
            <w:t xml:space="preserve">, </w:t>
          </w:r>
          <w:proofErr w:type="spellStart"/>
          <w:r w:rsidRPr="00AB28E8">
            <w:rPr>
              <w:rFonts w:ascii="Arial" w:hAnsi="Arial" w:cs="Arial"/>
              <w:color w:val="606062"/>
              <w:sz w:val="14"/>
              <w:szCs w:val="14"/>
            </w:rPr>
            <w:t>Србија</w:t>
          </w:r>
          <w:proofErr w:type="spellEnd"/>
        </w:p>
        <w:p w:rsidR="00AB28E8" w:rsidRDefault="00AB28E8" w:rsidP="006952F0">
          <w:pPr>
            <w:pStyle w:val="Footer"/>
            <w:spacing w:line="288" w:lineRule="auto"/>
            <w:jc w:val="right"/>
            <w:rPr>
              <w:rFonts w:ascii="Arial" w:hAnsi="Arial" w:cs="Arial"/>
              <w:color w:val="606062"/>
              <w:sz w:val="14"/>
              <w:szCs w:val="14"/>
            </w:rPr>
          </w:pPr>
          <w:r w:rsidRPr="00AB28E8">
            <w:rPr>
              <w:rFonts w:ascii="Arial" w:hAnsi="Arial" w:cs="Arial"/>
              <w:color w:val="606062"/>
              <w:sz w:val="14"/>
              <w:szCs w:val="14"/>
            </w:rPr>
            <w:t xml:space="preserve">+381 11 24 12 922 </w:t>
          </w:r>
        </w:p>
        <w:p w:rsidR="00AB28E8" w:rsidRPr="00AB28E8" w:rsidRDefault="00AB28E8" w:rsidP="006952F0">
          <w:pPr>
            <w:pStyle w:val="Footer"/>
            <w:spacing w:line="288" w:lineRule="auto"/>
            <w:jc w:val="right"/>
            <w:rPr>
              <w:rFonts w:ascii="Arial" w:hAnsi="Arial" w:cs="Arial"/>
              <w:color w:val="606062"/>
              <w:sz w:val="14"/>
              <w:szCs w:val="14"/>
            </w:rPr>
          </w:pPr>
          <w:r w:rsidRPr="00AB28E8">
            <w:rPr>
              <w:rFonts w:ascii="Arial" w:hAnsi="Arial" w:cs="Arial"/>
              <w:color w:val="606062"/>
              <w:sz w:val="14"/>
              <w:szCs w:val="14"/>
            </w:rPr>
            <w:t>stat@stat.gov.rs</w:t>
          </w:r>
        </w:p>
      </w:tc>
    </w:tr>
  </w:tbl>
  <w:p w:rsidR="00AB28E8" w:rsidRPr="00AB28E8" w:rsidRDefault="00AB28E8">
    <w:pPr>
      <w:pStyle w:val="Foote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3B9" w:rsidRDefault="000453B9" w:rsidP="0035472E">
      <w:pPr>
        <w:spacing w:after="0" w:line="240" w:lineRule="auto"/>
      </w:pPr>
      <w:r>
        <w:separator/>
      </w:r>
    </w:p>
  </w:footnote>
  <w:footnote w:type="continuationSeparator" w:id="0">
    <w:p w:rsidR="000453B9" w:rsidRDefault="000453B9" w:rsidP="00354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CE5" w:rsidRDefault="000E0CE5">
    <w:pPr>
      <w:pStyle w:val="Header"/>
    </w:pPr>
    <w:r>
      <w:rPr>
        <w:noProof/>
      </w:rPr>
      <w:drawing>
        <wp:inline distT="0" distB="0" distL="0" distR="0" wp14:anchorId="256D5B40" wp14:editId="6F527765">
          <wp:extent cx="7056755" cy="392848"/>
          <wp:effectExtent l="0" t="0" r="0" b="7620"/>
          <wp:docPr id="1" name="Picture 1" descr="C:\Users\irena.dimic\AppData\Local\Microsoft\Windows\INetCache\Content.Word\Memo-Pop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rena.dimic\AppData\Local\Microsoft\Windows\INetCache\Content.Word\Memo-Pop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56755" cy="392848"/>
                  </a:xfrm>
                  <a:prstGeom prst="rect">
                    <a:avLst/>
                  </a:prstGeom>
                  <a:noFill/>
                  <a:ln>
                    <a:noFill/>
                  </a:ln>
                </pic:spPr>
              </pic:pic>
            </a:graphicData>
          </a:graphic>
        </wp:inline>
      </w:drawing>
    </w:r>
  </w:p>
  <w:p w:rsidR="00CB0BF3" w:rsidRDefault="00CB0BF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30087"/>
    <w:multiLevelType w:val="hybridMultilevel"/>
    <w:tmpl w:val="E31C4340"/>
    <w:lvl w:ilvl="0" w:tplc="C910E3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72E"/>
    <w:rsid w:val="00032D15"/>
    <w:rsid w:val="000453B9"/>
    <w:rsid w:val="000B1D37"/>
    <w:rsid w:val="000E0CE5"/>
    <w:rsid w:val="001408C1"/>
    <w:rsid w:val="00164FD9"/>
    <w:rsid w:val="00165657"/>
    <w:rsid w:val="00224CAF"/>
    <w:rsid w:val="0023377E"/>
    <w:rsid w:val="002C30C9"/>
    <w:rsid w:val="002F6CEA"/>
    <w:rsid w:val="0035472E"/>
    <w:rsid w:val="00413565"/>
    <w:rsid w:val="00481D28"/>
    <w:rsid w:val="00577284"/>
    <w:rsid w:val="005939EE"/>
    <w:rsid w:val="005F7AD4"/>
    <w:rsid w:val="00626CAC"/>
    <w:rsid w:val="006351AB"/>
    <w:rsid w:val="006952F0"/>
    <w:rsid w:val="006B4CF5"/>
    <w:rsid w:val="006F302C"/>
    <w:rsid w:val="006F3FE7"/>
    <w:rsid w:val="00703504"/>
    <w:rsid w:val="00732D6F"/>
    <w:rsid w:val="00770605"/>
    <w:rsid w:val="00774DB1"/>
    <w:rsid w:val="007C7F7A"/>
    <w:rsid w:val="008842D1"/>
    <w:rsid w:val="00910D06"/>
    <w:rsid w:val="009B75B5"/>
    <w:rsid w:val="009E19FE"/>
    <w:rsid w:val="009F3F74"/>
    <w:rsid w:val="00A20CAA"/>
    <w:rsid w:val="00A419CD"/>
    <w:rsid w:val="00AB28E8"/>
    <w:rsid w:val="00AE6A18"/>
    <w:rsid w:val="00BD3FA9"/>
    <w:rsid w:val="00BE3593"/>
    <w:rsid w:val="00C13743"/>
    <w:rsid w:val="00C41CD1"/>
    <w:rsid w:val="00CB0BF3"/>
    <w:rsid w:val="00CB343B"/>
    <w:rsid w:val="00CF32A5"/>
    <w:rsid w:val="00D16676"/>
    <w:rsid w:val="00D24A87"/>
    <w:rsid w:val="00D41F81"/>
    <w:rsid w:val="00E05F79"/>
    <w:rsid w:val="00E41726"/>
    <w:rsid w:val="00E6194B"/>
    <w:rsid w:val="00F10147"/>
    <w:rsid w:val="00F16CAA"/>
    <w:rsid w:val="00F7641D"/>
    <w:rsid w:val="00F86EA3"/>
    <w:rsid w:val="00FA238F"/>
    <w:rsid w:val="00FB1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613E1"/>
  <w15:chartTrackingRefBased/>
  <w15:docId w15:val="{C88316CB-7257-4FE9-B2A6-C441BB771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ZaglavljeDem">
    <w:name w:val="ZaglavljeDem"/>
    <w:basedOn w:val="TableNormal"/>
    <w:uiPriority w:val="99"/>
    <w:rsid w:val="00D24A87"/>
    <w:pPr>
      <w:spacing w:after="0" w:line="240" w:lineRule="auto"/>
      <w:jc w:val="center"/>
    </w:pPr>
    <w:rPr>
      <w:rFonts w:ascii="Times New Roman" w:eastAsia="Times New Roman" w:hAnsi="Times New Roman" w:cs="Times New Roman"/>
      <w:sz w:val="20"/>
      <w:szCs w:val="20"/>
      <w:lang w:val="sr-Latn-RS" w:eastAsia="sr-Latn-RS"/>
    </w:rPr>
    <w:tblPr>
      <w:jc w:val="center"/>
      <w:tblBorders>
        <w:top w:val="single" w:sz="6" w:space="0" w:color="F09B62"/>
        <w:bottom w:val="single" w:sz="6" w:space="0" w:color="F09B62"/>
        <w:insideH w:val="single" w:sz="4" w:space="0" w:color="F09B62"/>
        <w:insideV w:val="single" w:sz="4" w:space="0" w:color="F09B62"/>
      </w:tblBorders>
      <w:tblCellMar>
        <w:left w:w="28" w:type="dxa"/>
        <w:right w:w="28" w:type="dxa"/>
      </w:tblCellMar>
    </w:tblPr>
    <w:trPr>
      <w:jc w:val="center"/>
    </w:trPr>
    <w:tcPr>
      <w:shd w:val="clear" w:color="auto" w:fill="F2F2F2" w:themeFill="background1" w:themeFillShade="F2"/>
      <w:vAlign w:val="center"/>
    </w:tcPr>
  </w:style>
  <w:style w:type="table" w:customStyle="1" w:styleId="Dem1">
    <w:name w:val="Dem1"/>
    <w:basedOn w:val="TableNormal"/>
    <w:uiPriority w:val="99"/>
    <w:rsid w:val="00D24A87"/>
    <w:pPr>
      <w:spacing w:after="0" w:line="240" w:lineRule="auto"/>
      <w:jc w:val="right"/>
    </w:pPr>
    <w:rPr>
      <w:rFonts w:ascii="Times New Roman" w:eastAsia="Times New Roman" w:hAnsi="Times New Roman" w:cs="Times New Roman"/>
      <w:sz w:val="20"/>
      <w:szCs w:val="20"/>
      <w:lang w:val="sr-Latn-RS" w:eastAsia="sr-Latn-RS"/>
    </w:rPr>
    <w:tblPr>
      <w:tblStyleRowBandSize w:val="1"/>
      <w:jc w:val="center"/>
      <w:tblBorders>
        <w:bottom w:val="single" w:sz="6" w:space="0" w:color="F09B62"/>
      </w:tblBorders>
      <w:tblCellMar>
        <w:left w:w="28" w:type="dxa"/>
        <w:right w:w="28" w:type="dxa"/>
      </w:tblCellMar>
    </w:tblPr>
    <w:trPr>
      <w:jc w:val="center"/>
    </w:trPr>
    <w:tcPr>
      <w:vAlign w:val="bottom"/>
    </w:tcPr>
    <w:tblStylePr w:type="band2Horz">
      <w:tblPr>
        <w:tblCellMar>
          <w:top w:w="0" w:type="dxa"/>
          <w:left w:w="28" w:type="dxa"/>
          <w:bottom w:w="0" w:type="dxa"/>
          <w:right w:w="28" w:type="dxa"/>
        </w:tblCellMar>
      </w:tblPr>
      <w:tcPr>
        <w:tcBorders>
          <w:bottom w:val="nil"/>
        </w:tcBorders>
        <w:shd w:val="clear" w:color="auto" w:fill="F2F2F2" w:themeFill="background1" w:themeFillShade="F2"/>
      </w:tcPr>
    </w:tblStylePr>
  </w:style>
  <w:style w:type="table" w:customStyle="1" w:styleId="PERA">
    <w:name w:val="PERA"/>
    <w:basedOn w:val="TableNormal"/>
    <w:uiPriority w:val="99"/>
    <w:rsid w:val="00224CAF"/>
    <w:pPr>
      <w:spacing w:after="0" w:line="240" w:lineRule="auto"/>
    </w:pPr>
    <w:rPr>
      <w:rFonts w:ascii="Times New Roman" w:eastAsia="Times New Roman" w:hAnsi="Times New Roman"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EAAAA" w:themeFill="background2" w:themeFillShade="BF"/>
    </w:tcPr>
  </w:style>
  <w:style w:type="table" w:customStyle="1" w:styleId="TabEko">
    <w:name w:val="TabEko"/>
    <w:basedOn w:val="TableNormal"/>
    <w:rsid w:val="002C30C9"/>
    <w:pPr>
      <w:spacing w:after="0" w:line="240" w:lineRule="auto"/>
    </w:pPr>
    <w:rPr>
      <w:rFonts w:ascii="Times New Roman" w:eastAsia="Times New Roman" w:hAnsi="Times New Roman" w:cs="Times New Roman"/>
      <w:sz w:val="20"/>
      <w:szCs w:val="20"/>
    </w:rPr>
    <w:tblPr>
      <w:tblStyleRowBandSize w:val="1"/>
      <w:jc w:val="center"/>
      <w:tblCellMar>
        <w:left w:w="28" w:type="dxa"/>
        <w:right w:w="28" w:type="dxa"/>
      </w:tblCellMar>
    </w:tblPr>
    <w:trPr>
      <w:jc w:val="center"/>
    </w:trPr>
    <w:tblStylePr w:type="band2Horz">
      <w:tblPr/>
      <w:tcPr>
        <w:shd w:val="clear" w:color="auto" w:fill="F2F2F2"/>
      </w:tcPr>
    </w:tblStylePr>
  </w:style>
  <w:style w:type="table" w:customStyle="1" w:styleId="ZagEko">
    <w:name w:val="ZagEko"/>
    <w:basedOn w:val="TableNormal"/>
    <w:rsid w:val="009F3F74"/>
    <w:pPr>
      <w:spacing w:after="0" w:line="240" w:lineRule="auto"/>
    </w:pPr>
    <w:rPr>
      <w:rFonts w:ascii="Times New Roman" w:eastAsia="Times New Roman" w:hAnsi="Times New Roman" w:cs="Times New Roman"/>
      <w:sz w:val="20"/>
      <w:szCs w:val="20"/>
    </w:rPr>
    <w:tblPr>
      <w:jc w:val="center"/>
      <w:tblBorders>
        <w:top w:val="single" w:sz="4" w:space="0" w:color="225482"/>
        <w:bottom w:val="single" w:sz="4" w:space="0" w:color="225482"/>
        <w:insideH w:val="single" w:sz="4" w:space="0" w:color="225482"/>
        <w:insideV w:val="single" w:sz="4" w:space="0" w:color="225482"/>
      </w:tblBorders>
      <w:tblCellMar>
        <w:left w:w="28" w:type="dxa"/>
        <w:right w:w="28" w:type="dxa"/>
      </w:tblCellMar>
    </w:tblPr>
    <w:trPr>
      <w:jc w:val="center"/>
    </w:trPr>
    <w:tcPr>
      <w:shd w:val="clear" w:color="auto" w:fill="F2F2F2"/>
    </w:tcPr>
  </w:style>
  <w:style w:type="table" w:customStyle="1" w:styleId="TabMSB">
    <w:name w:val="TabMSB"/>
    <w:basedOn w:val="TableNormal"/>
    <w:uiPriority w:val="99"/>
    <w:rsid w:val="00AE6A18"/>
    <w:pPr>
      <w:spacing w:after="0" w:line="240" w:lineRule="auto"/>
    </w:pPr>
    <w:rPr>
      <w:rFonts w:ascii="Times New Roman" w:eastAsia="Times New Roman" w:hAnsi="Times New Roman" w:cs="Times New Roman"/>
      <w:sz w:val="20"/>
      <w:szCs w:val="20"/>
    </w:rPr>
    <w:tblPr>
      <w:tblStyleRowBandSize w:val="1"/>
      <w:jc w:val="center"/>
      <w:tblBorders>
        <w:bottom w:val="single" w:sz="4" w:space="0" w:color="003399"/>
      </w:tblBorders>
      <w:tblCellMar>
        <w:left w:w="28" w:type="dxa"/>
        <w:right w:w="28" w:type="dxa"/>
      </w:tblCellMar>
    </w:tblPr>
    <w:trPr>
      <w:jc w:val="center"/>
    </w:trPr>
    <w:tblStylePr w:type="band2Horz">
      <w:tblPr/>
      <w:tcPr>
        <w:shd w:val="clear" w:color="auto" w:fill="F2F2F2" w:themeFill="background1" w:themeFillShade="F2"/>
      </w:tcPr>
    </w:tblStylePr>
  </w:style>
  <w:style w:type="table" w:customStyle="1" w:styleId="ZagMSB">
    <w:name w:val="ZagMSB"/>
    <w:basedOn w:val="TableNormal"/>
    <w:uiPriority w:val="99"/>
    <w:rsid w:val="00AE6A18"/>
    <w:pPr>
      <w:spacing w:after="0" w:line="240" w:lineRule="auto"/>
      <w:jc w:val="center"/>
    </w:pPr>
    <w:rPr>
      <w:rFonts w:ascii="Times New Roman" w:eastAsia="Times New Roman" w:hAnsi="Times New Roman" w:cs="Times New Roman"/>
      <w:sz w:val="20"/>
      <w:szCs w:val="20"/>
    </w:rPr>
    <w:tblPr>
      <w:jc w:val="center"/>
      <w:tblBorders>
        <w:top w:val="single" w:sz="4" w:space="0" w:color="003399"/>
        <w:bottom w:val="single" w:sz="4" w:space="0" w:color="003399"/>
        <w:insideH w:val="single" w:sz="4" w:space="0" w:color="003399"/>
        <w:insideV w:val="single" w:sz="4" w:space="0" w:color="003399"/>
      </w:tblBorders>
      <w:tblCellMar>
        <w:left w:w="28" w:type="dxa"/>
        <w:right w:w="28" w:type="dxa"/>
      </w:tblCellMar>
    </w:tblPr>
    <w:trPr>
      <w:jc w:val="center"/>
    </w:trPr>
    <w:tcPr>
      <w:shd w:val="clear" w:color="auto" w:fill="F2F2F2" w:themeFill="background1" w:themeFillShade="F2"/>
      <w:vAlign w:val="center"/>
    </w:tcPr>
  </w:style>
  <w:style w:type="paragraph" w:styleId="Header">
    <w:name w:val="header"/>
    <w:basedOn w:val="Normal"/>
    <w:link w:val="HeaderChar"/>
    <w:uiPriority w:val="99"/>
    <w:unhideWhenUsed/>
    <w:rsid w:val="00354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2E"/>
  </w:style>
  <w:style w:type="paragraph" w:styleId="Footer">
    <w:name w:val="footer"/>
    <w:basedOn w:val="Normal"/>
    <w:link w:val="FooterChar"/>
    <w:uiPriority w:val="99"/>
    <w:unhideWhenUsed/>
    <w:rsid w:val="00354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72E"/>
  </w:style>
  <w:style w:type="table" w:styleId="TableGrid">
    <w:name w:val="Table Grid"/>
    <w:basedOn w:val="TableNormal"/>
    <w:uiPriority w:val="39"/>
    <w:rsid w:val="00354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6C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CAC"/>
    <w:rPr>
      <w:rFonts w:ascii="Segoe UI" w:hAnsi="Segoe UI" w:cs="Segoe UI"/>
      <w:sz w:val="18"/>
      <w:szCs w:val="18"/>
    </w:rPr>
  </w:style>
  <w:style w:type="paragraph" w:styleId="ListParagraph">
    <w:name w:val="List Paragraph"/>
    <w:basedOn w:val="Normal"/>
    <w:uiPriority w:val="34"/>
    <w:qFormat/>
    <w:rsid w:val="00481D28"/>
    <w:pPr>
      <w:spacing w:after="0" w:line="240" w:lineRule="auto"/>
      <w:ind w:left="720"/>
      <w:contextualSpacing/>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81D28"/>
    <w:pPr>
      <w:widowControl w:val="0"/>
      <w:autoSpaceDE w:val="0"/>
      <w:autoSpaceDN w:val="0"/>
      <w:spacing w:after="0" w:line="240" w:lineRule="auto"/>
    </w:pPr>
    <w:rPr>
      <w:rFonts w:ascii="Calibri" w:eastAsia="Calibri" w:hAnsi="Calibri" w:cs="Times New Roman"/>
      <w:lang w:val="mk" w:eastAsia="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nstats.un.org/unsd/demographic-social/census/documents/ppe_in_census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Steljic</dc:creator>
  <cp:keywords/>
  <dc:description/>
  <cp:lastModifiedBy>Sanja Aksentijevic</cp:lastModifiedBy>
  <cp:revision>6</cp:revision>
  <cp:lastPrinted>2019-09-20T07:36:00Z</cp:lastPrinted>
  <dcterms:created xsi:type="dcterms:W3CDTF">2020-10-16T06:39:00Z</dcterms:created>
  <dcterms:modified xsi:type="dcterms:W3CDTF">2020-10-16T08:31:00Z</dcterms:modified>
</cp:coreProperties>
</file>