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1A8DA" w14:textId="3F0D6D6D" w:rsidR="00CA16E9" w:rsidRPr="00226FA1" w:rsidRDefault="00CA16E9" w:rsidP="00C72244">
      <w:pPr>
        <w:pStyle w:val="Title"/>
        <w:rPr>
          <w:rFonts w:eastAsiaTheme="minorHAnsi"/>
        </w:rPr>
      </w:pPr>
    </w:p>
    <w:p w14:paraId="59016030" w14:textId="77777777" w:rsidR="00CA16E9" w:rsidRPr="00226FA1" w:rsidRDefault="00CA16E9" w:rsidP="00C72244">
      <w:pPr>
        <w:pStyle w:val="Title"/>
        <w:rPr>
          <w:rFonts w:eastAsiaTheme="minorHAnsi"/>
        </w:rPr>
      </w:pPr>
    </w:p>
    <w:p w14:paraId="65F150AE" w14:textId="77777777" w:rsidR="00CA16E9" w:rsidRPr="00226FA1" w:rsidRDefault="00CA16E9" w:rsidP="00C72244">
      <w:pPr>
        <w:pStyle w:val="Title"/>
        <w:rPr>
          <w:rFonts w:eastAsiaTheme="minorHAnsi"/>
        </w:rPr>
      </w:pPr>
    </w:p>
    <w:p w14:paraId="01DEF1A1" w14:textId="77777777" w:rsidR="00CA16E9" w:rsidRPr="00226FA1" w:rsidRDefault="00CA16E9" w:rsidP="00C72244">
      <w:pPr>
        <w:pStyle w:val="Title"/>
        <w:rPr>
          <w:rFonts w:eastAsiaTheme="minorHAnsi"/>
        </w:rPr>
      </w:pPr>
    </w:p>
    <w:p w14:paraId="211FF6EF" w14:textId="77777777" w:rsidR="00422833" w:rsidRDefault="00422833" w:rsidP="00286904">
      <w:pPr>
        <w:pStyle w:val="Title"/>
        <w:jc w:val="center"/>
        <w:rPr>
          <w:rFonts w:eastAsiaTheme="minorHAnsi"/>
        </w:rPr>
      </w:pPr>
    </w:p>
    <w:p w14:paraId="07282BE9" w14:textId="77777777" w:rsidR="00422833" w:rsidRDefault="00422833" w:rsidP="00286904">
      <w:pPr>
        <w:pStyle w:val="Title"/>
        <w:jc w:val="center"/>
        <w:rPr>
          <w:rFonts w:eastAsiaTheme="minorHAnsi"/>
        </w:rPr>
      </w:pPr>
    </w:p>
    <w:p w14:paraId="664410DE" w14:textId="77777777" w:rsidR="00422833" w:rsidRDefault="00422833" w:rsidP="00286904">
      <w:pPr>
        <w:pStyle w:val="Title"/>
        <w:jc w:val="center"/>
        <w:rPr>
          <w:rFonts w:eastAsiaTheme="minorHAnsi"/>
        </w:rPr>
      </w:pPr>
    </w:p>
    <w:p w14:paraId="37920B31" w14:textId="1B06930D" w:rsidR="00C72244" w:rsidRPr="00226FA1" w:rsidRDefault="00552D4A" w:rsidP="00286904">
      <w:pPr>
        <w:pStyle w:val="Title"/>
        <w:jc w:val="center"/>
        <w:rPr>
          <w:rFonts w:eastAsiaTheme="minorHAnsi"/>
        </w:rPr>
      </w:pPr>
      <w:r>
        <w:rPr>
          <w:rFonts w:eastAsiaTheme="minorHAnsi"/>
        </w:rPr>
        <w:t>N</w:t>
      </w:r>
      <w:r w:rsidRPr="00226FA1">
        <w:rPr>
          <w:rFonts w:eastAsiaTheme="minorHAnsi"/>
        </w:rPr>
        <w:t xml:space="preserve">ational </w:t>
      </w:r>
      <w:r>
        <w:rPr>
          <w:rFonts w:eastAsiaTheme="minorHAnsi"/>
        </w:rPr>
        <w:t>A</w:t>
      </w:r>
      <w:r w:rsidRPr="00226FA1">
        <w:rPr>
          <w:rFonts w:eastAsiaTheme="minorHAnsi"/>
        </w:rPr>
        <w:t xml:space="preserve">ccounts </w:t>
      </w:r>
      <w:r w:rsidR="00C72244" w:rsidRPr="00226FA1">
        <w:rPr>
          <w:rFonts w:eastAsiaTheme="minorHAnsi"/>
        </w:rPr>
        <w:t>Revision Policy</w:t>
      </w:r>
      <w:r w:rsidR="00010CA4">
        <w:rPr>
          <w:rFonts w:eastAsiaTheme="minorHAnsi"/>
        </w:rPr>
        <w:t xml:space="preserve"> - Statistical </w:t>
      </w:r>
      <w:r w:rsidR="00C72244" w:rsidRPr="00226FA1">
        <w:rPr>
          <w:rFonts w:eastAsiaTheme="minorHAnsi"/>
        </w:rPr>
        <w:t xml:space="preserve">Office of the Republic of Serbia </w:t>
      </w:r>
    </w:p>
    <w:p w14:paraId="61DF3F44" w14:textId="6EA9BA03" w:rsidR="008775ED" w:rsidRPr="00226FA1" w:rsidRDefault="008775ED" w:rsidP="004476DB">
      <w:pPr>
        <w:rPr>
          <w:rFonts w:eastAsiaTheme="minorHAnsi"/>
        </w:rPr>
      </w:pPr>
    </w:p>
    <w:p w14:paraId="0051F796" w14:textId="6393D795" w:rsidR="004476DB" w:rsidRPr="00226FA1" w:rsidRDefault="004476DB" w:rsidP="004476DB">
      <w:pPr>
        <w:rPr>
          <w:rFonts w:eastAsiaTheme="minorHAnsi"/>
        </w:rPr>
      </w:pPr>
    </w:p>
    <w:p w14:paraId="39C261C5" w14:textId="712DA758" w:rsidR="004476DB" w:rsidRPr="00226FA1" w:rsidRDefault="004476DB" w:rsidP="004476DB">
      <w:pPr>
        <w:rPr>
          <w:rFonts w:eastAsiaTheme="minorHAnsi"/>
        </w:rPr>
      </w:pPr>
    </w:p>
    <w:p w14:paraId="7F79C091" w14:textId="7CDD8690" w:rsidR="004476DB" w:rsidRPr="00226FA1" w:rsidRDefault="004476DB" w:rsidP="004476DB">
      <w:pPr>
        <w:rPr>
          <w:rFonts w:eastAsiaTheme="minorHAnsi"/>
        </w:rPr>
      </w:pPr>
    </w:p>
    <w:p w14:paraId="5980474F" w14:textId="293C8B6D" w:rsidR="004476DB" w:rsidRPr="00226FA1" w:rsidRDefault="004476DB" w:rsidP="004476DB">
      <w:pPr>
        <w:rPr>
          <w:rFonts w:eastAsiaTheme="minorHAnsi"/>
        </w:rPr>
      </w:pPr>
    </w:p>
    <w:p w14:paraId="12BD9364" w14:textId="0DCC1F0D" w:rsidR="004476DB" w:rsidRPr="00226FA1" w:rsidRDefault="004476DB" w:rsidP="004476DB">
      <w:pPr>
        <w:rPr>
          <w:rFonts w:eastAsiaTheme="minorHAnsi"/>
        </w:rPr>
      </w:pPr>
    </w:p>
    <w:p w14:paraId="6ACFE048" w14:textId="43DC0A97" w:rsidR="004476DB" w:rsidRPr="00226FA1" w:rsidRDefault="004476DB" w:rsidP="004476DB">
      <w:pPr>
        <w:rPr>
          <w:rFonts w:eastAsiaTheme="minorHAnsi"/>
        </w:rPr>
      </w:pPr>
    </w:p>
    <w:p w14:paraId="6B8F1400" w14:textId="6AFF3956" w:rsidR="004476DB" w:rsidRPr="00226FA1" w:rsidRDefault="004476DB" w:rsidP="004476DB">
      <w:pPr>
        <w:rPr>
          <w:rFonts w:eastAsiaTheme="minorHAnsi"/>
        </w:rPr>
      </w:pPr>
    </w:p>
    <w:p w14:paraId="5C478377" w14:textId="3E8B435F" w:rsidR="004476DB" w:rsidRPr="00226FA1" w:rsidRDefault="004476DB" w:rsidP="004476DB">
      <w:pPr>
        <w:rPr>
          <w:rFonts w:eastAsiaTheme="minorHAnsi"/>
        </w:rPr>
      </w:pPr>
    </w:p>
    <w:p w14:paraId="7FA476DD" w14:textId="6370F6F1" w:rsidR="004476DB" w:rsidRPr="00226FA1" w:rsidRDefault="004476DB" w:rsidP="004476DB">
      <w:pPr>
        <w:rPr>
          <w:rFonts w:eastAsiaTheme="minorHAnsi"/>
        </w:rPr>
      </w:pPr>
    </w:p>
    <w:p w14:paraId="7FBE62B9" w14:textId="44BF3E4D" w:rsidR="004476DB" w:rsidRPr="00226FA1" w:rsidRDefault="004476DB" w:rsidP="004476DB">
      <w:pPr>
        <w:rPr>
          <w:rFonts w:eastAsiaTheme="minorHAnsi"/>
        </w:rPr>
      </w:pPr>
    </w:p>
    <w:p w14:paraId="77C5F32D" w14:textId="000EF213" w:rsidR="004476DB" w:rsidRPr="00226FA1" w:rsidRDefault="004476DB" w:rsidP="004476DB">
      <w:pPr>
        <w:rPr>
          <w:rFonts w:eastAsiaTheme="minorHAnsi"/>
        </w:rPr>
      </w:pPr>
    </w:p>
    <w:p w14:paraId="58696598" w14:textId="5E6B55E1" w:rsidR="004476DB" w:rsidRPr="00226FA1" w:rsidRDefault="004476DB" w:rsidP="004476DB">
      <w:pPr>
        <w:rPr>
          <w:rFonts w:eastAsiaTheme="minorHAnsi"/>
        </w:rPr>
      </w:pPr>
    </w:p>
    <w:p w14:paraId="56CA8229" w14:textId="31F04E8A" w:rsidR="004476DB" w:rsidRPr="00226FA1" w:rsidRDefault="004476DB" w:rsidP="004476DB">
      <w:pPr>
        <w:rPr>
          <w:rFonts w:eastAsiaTheme="minorHAnsi"/>
        </w:rPr>
      </w:pPr>
    </w:p>
    <w:p w14:paraId="6B01D055" w14:textId="3FA242AB" w:rsidR="004476DB" w:rsidRPr="00226FA1" w:rsidRDefault="004476DB" w:rsidP="004476DB">
      <w:pPr>
        <w:rPr>
          <w:rFonts w:eastAsiaTheme="minorHAnsi"/>
        </w:rPr>
      </w:pPr>
    </w:p>
    <w:p w14:paraId="4EE46247" w14:textId="2A9B1490" w:rsidR="004476DB" w:rsidRPr="00226FA1" w:rsidRDefault="004476DB" w:rsidP="004476DB">
      <w:pPr>
        <w:rPr>
          <w:rFonts w:eastAsiaTheme="minorHAnsi"/>
        </w:rPr>
      </w:pPr>
    </w:p>
    <w:p w14:paraId="1A7098D4" w14:textId="6CA3BF8D" w:rsidR="004476DB" w:rsidRPr="00226FA1" w:rsidRDefault="004476DB" w:rsidP="004476DB">
      <w:pPr>
        <w:rPr>
          <w:rFonts w:eastAsiaTheme="minorHAnsi"/>
        </w:rPr>
      </w:pPr>
    </w:p>
    <w:p w14:paraId="60F86973" w14:textId="34F249E7" w:rsidR="004476DB" w:rsidRPr="00226FA1" w:rsidRDefault="004476DB" w:rsidP="004476DB">
      <w:pPr>
        <w:rPr>
          <w:rFonts w:eastAsiaTheme="minorHAnsi"/>
        </w:rPr>
      </w:pPr>
    </w:p>
    <w:p w14:paraId="4E09F6B0" w14:textId="77777777" w:rsidR="004476DB" w:rsidRPr="00226FA1" w:rsidRDefault="004476DB" w:rsidP="004476DB">
      <w:pPr>
        <w:rPr>
          <w:rFonts w:eastAsiaTheme="minorHAnsi"/>
        </w:rPr>
      </w:pPr>
    </w:p>
    <w:p w14:paraId="7DE20CED" w14:textId="6416CAA5" w:rsidR="004476DB" w:rsidRPr="00226FA1" w:rsidRDefault="004476DB" w:rsidP="004476DB">
      <w:pPr>
        <w:rPr>
          <w:rFonts w:eastAsiaTheme="minorHAnsi"/>
        </w:rPr>
      </w:pPr>
    </w:p>
    <w:p w14:paraId="48B90E49" w14:textId="7E65E753" w:rsidR="004476DB" w:rsidRPr="00226FA1" w:rsidRDefault="004476DB" w:rsidP="004476DB">
      <w:pPr>
        <w:rPr>
          <w:rFonts w:eastAsiaTheme="minorHAnsi"/>
        </w:rPr>
      </w:pPr>
    </w:p>
    <w:p w14:paraId="417204A5" w14:textId="3E929375" w:rsidR="004476DB" w:rsidRPr="00226FA1" w:rsidRDefault="004476DB" w:rsidP="004476DB">
      <w:pPr>
        <w:rPr>
          <w:rFonts w:asciiTheme="majorHAnsi" w:eastAsiaTheme="minorHAnsi" w:hAnsiTheme="majorHAnsi" w:cstheme="majorBidi"/>
          <w:color w:val="000000" w:themeColor="text1"/>
          <w:sz w:val="56"/>
          <w:szCs w:val="56"/>
        </w:rPr>
      </w:pPr>
    </w:p>
    <w:sdt>
      <w:sdtPr>
        <w:rPr>
          <w:rFonts w:asciiTheme="minorHAnsi" w:eastAsiaTheme="minorEastAsia" w:hAnsiTheme="minorHAnsi" w:cstheme="minorBidi"/>
          <w:b w:val="0"/>
          <w:bCs w:val="0"/>
          <w:smallCaps w:val="0"/>
          <w:color w:val="auto"/>
          <w:sz w:val="22"/>
          <w:szCs w:val="22"/>
        </w:rPr>
        <w:id w:val="406650368"/>
        <w:docPartObj>
          <w:docPartGallery w:val="Table of Contents"/>
          <w:docPartUnique/>
        </w:docPartObj>
      </w:sdtPr>
      <w:sdtEndPr>
        <w:rPr>
          <w:noProof/>
        </w:rPr>
      </w:sdtEndPr>
      <w:sdtContent>
        <w:p w14:paraId="4C8AF5DC" w14:textId="77777777" w:rsidR="008775ED" w:rsidRPr="00E31115" w:rsidRDefault="008775ED" w:rsidP="00E31115">
          <w:pPr>
            <w:pStyle w:val="TOCHeading"/>
            <w:numPr>
              <w:ilvl w:val="0"/>
              <w:numId w:val="0"/>
            </w:numPr>
            <w:ind w:left="432"/>
            <w:rPr>
              <w:sz w:val="28"/>
              <w:szCs w:val="28"/>
            </w:rPr>
          </w:pPr>
          <w:r w:rsidRPr="00E31115">
            <w:rPr>
              <w:sz w:val="28"/>
              <w:szCs w:val="28"/>
            </w:rPr>
            <w:t>Contents</w:t>
          </w:r>
        </w:p>
        <w:p w14:paraId="45F81041" w14:textId="351FA608" w:rsidR="0094529B" w:rsidRDefault="008775ED">
          <w:pPr>
            <w:pStyle w:val="TOC1"/>
            <w:rPr>
              <w:noProof/>
            </w:rPr>
          </w:pPr>
          <w:r w:rsidRPr="00226FA1">
            <w:fldChar w:fldCharType="begin"/>
          </w:r>
          <w:r w:rsidRPr="00226FA1">
            <w:instrText xml:space="preserve"> TOC \o "1-3" \h \z \u </w:instrText>
          </w:r>
          <w:r w:rsidRPr="00226FA1">
            <w:fldChar w:fldCharType="separate"/>
          </w:r>
          <w:hyperlink w:anchor="_Toc130908744" w:history="1">
            <w:r w:rsidR="0094529B" w:rsidRPr="00D555A4">
              <w:rPr>
                <w:rStyle w:val="Hyperlink"/>
                <w:rFonts w:eastAsiaTheme="minorHAnsi"/>
                <w:noProof/>
              </w:rPr>
              <w:t>1</w:t>
            </w:r>
            <w:r w:rsidR="0094529B">
              <w:rPr>
                <w:noProof/>
              </w:rPr>
              <w:tab/>
            </w:r>
            <w:r w:rsidR="0094529B" w:rsidRPr="00D555A4">
              <w:rPr>
                <w:rStyle w:val="Hyperlink"/>
                <w:rFonts w:eastAsiaTheme="minorHAnsi"/>
                <w:noProof/>
              </w:rPr>
              <w:t>Introduction</w:t>
            </w:r>
            <w:r w:rsidR="0094529B">
              <w:rPr>
                <w:noProof/>
                <w:webHidden/>
              </w:rPr>
              <w:tab/>
            </w:r>
            <w:r w:rsidR="0094529B">
              <w:rPr>
                <w:noProof/>
                <w:webHidden/>
              </w:rPr>
              <w:fldChar w:fldCharType="begin"/>
            </w:r>
            <w:r w:rsidR="0094529B">
              <w:rPr>
                <w:noProof/>
                <w:webHidden/>
              </w:rPr>
              <w:instrText xml:space="preserve"> PAGEREF _Toc130908744 \h </w:instrText>
            </w:r>
            <w:r w:rsidR="0094529B">
              <w:rPr>
                <w:noProof/>
                <w:webHidden/>
              </w:rPr>
            </w:r>
            <w:r w:rsidR="0094529B">
              <w:rPr>
                <w:noProof/>
                <w:webHidden/>
              </w:rPr>
              <w:fldChar w:fldCharType="separate"/>
            </w:r>
            <w:r w:rsidR="00BA4670">
              <w:rPr>
                <w:noProof/>
                <w:webHidden/>
              </w:rPr>
              <w:t>3</w:t>
            </w:r>
            <w:r w:rsidR="0094529B">
              <w:rPr>
                <w:noProof/>
                <w:webHidden/>
              </w:rPr>
              <w:fldChar w:fldCharType="end"/>
            </w:r>
          </w:hyperlink>
        </w:p>
        <w:p w14:paraId="58947144" w14:textId="7792E725" w:rsidR="0094529B" w:rsidRDefault="00F44CF3">
          <w:pPr>
            <w:pStyle w:val="TOC1"/>
            <w:rPr>
              <w:noProof/>
            </w:rPr>
          </w:pPr>
          <w:hyperlink w:anchor="_Toc130908745" w:history="1">
            <w:r w:rsidR="0094529B" w:rsidRPr="00D555A4">
              <w:rPr>
                <w:rStyle w:val="Hyperlink"/>
                <w:rFonts w:eastAsiaTheme="minorHAnsi"/>
                <w:noProof/>
              </w:rPr>
              <w:t>2</w:t>
            </w:r>
            <w:r w:rsidR="0094529B">
              <w:rPr>
                <w:noProof/>
              </w:rPr>
              <w:tab/>
            </w:r>
            <w:r w:rsidR="0094529B" w:rsidRPr="00D555A4">
              <w:rPr>
                <w:rStyle w:val="Hyperlink"/>
                <w:rFonts w:eastAsiaTheme="minorHAnsi"/>
                <w:noProof/>
              </w:rPr>
              <w:t>Release calendar</w:t>
            </w:r>
            <w:r w:rsidR="0094529B">
              <w:rPr>
                <w:noProof/>
                <w:webHidden/>
              </w:rPr>
              <w:tab/>
            </w:r>
            <w:r w:rsidR="0094529B">
              <w:rPr>
                <w:noProof/>
                <w:webHidden/>
              </w:rPr>
              <w:fldChar w:fldCharType="begin"/>
            </w:r>
            <w:r w:rsidR="0094529B">
              <w:rPr>
                <w:noProof/>
                <w:webHidden/>
              </w:rPr>
              <w:instrText xml:space="preserve"> PAGEREF _Toc130908745 \h </w:instrText>
            </w:r>
            <w:r w:rsidR="0094529B">
              <w:rPr>
                <w:noProof/>
                <w:webHidden/>
              </w:rPr>
            </w:r>
            <w:r w:rsidR="0094529B">
              <w:rPr>
                <w:noProof/>
                <w:webHidden/>
              </w:rPr>
              <w:fldChar w:fldCharType="separate"/>
            </w:r>
            <w:r w:rsidR="00BA4670">
              <w:rPr>
                <w:noProof/>
                <w:webHidden/>
              </w:rPr>
              <w:t>4</w:t>
            </w:r>
            <w:r w:rsidR="0094529B">
              <w:rPr>
                <w:noProof/>
                <w:webHidden/>
              </w:rPr>
              <w:fldChar w:fldCharType="end"/>
            </w:r>
          </w:hyperlink>
        </w:p>
        <w:p w14:paraId="51CA2DDF" w14:textId="5EDFEEB0" w:rsidR="0094529B" w:rsidRDefault="00F44CF3">
          <w:pPr>
            <w:pStyle w:val="TOC1"/>
            <w:rPr>
              <w:noProof/>
            </w:rPr>
          </w:pPr>
          <w:hyperlink w:anchor="_Toc130908746" w:history="1">
            <w:r w:rsidR="0094529B" w:rsidRPr="00D555A4">
              <w:rPr>
                <w:rStyle w:val="Hyperlink"/>
                <w:rFonts w:eastAsiaTheme="minorHAnsi"/>
                <w:noProof/>
              </w:rPr>
              <w:t>3</w:t>
            </w:r>
            <w:r w:rsidR="0094529B">
              <w:rPr>
                <w:noProof/>
              </w:rPr>
              <w:tab/>
            </w:r>
            <w:r w:rsidR="0094529B" w:rsidRPr="00D555A4">
              <w:rPr>
                <w:rStyle w:val="Hyperlink"/>
                <w:rFonts w:eastAsiaTheme="minorHAnsi"/>
                <w:noProof/>
              </w:rPr>
              <w:t>Routine revisions (</w:t>
            </w:r>
            <w:r w:rsidR="00A01E27">
              <w:rPr>
                <w:rStyle w:val="Hyperlink"/>
                <w:rFonts w:eastAsiaTheme="minorHAnsi"/>
                <w:noProof/>
              </w:rPr>
              <w:t>c</w:t>
            </w:r>
            <w:r w:rsidR="00A01E27" w:rsidRPr="00D555A4">
              <w:rPr>
                <w:rStyle w:val="Hyperlink"/>
                <w:rFonts w:eastAsiaTheme="minorHAnsi"/>
                <w:noProof/>
              </w:rPr>
              <w:t xml:space="preserve">urrent </w:t>
            </w:r>
            <w:r w:rsidR="0094529B" w:rsidRPr="00D555A4">
              <w:rPr>
                <w:rStyle w:val="Hyperlink"/>
                <w:rFonts w:eastAsiaTheme="minorHAnsi"/>
                <w:noProof/>
              </w:rPr>
              <w:t>revisions)</w:t>
            </w:r>
            <w:r w:rsidR="0094529B">
              <w:rPr>
                <w:noProof/>
                <w:webHidden/>
              </w:rPr>
              <w:tab/>
            </w:r>
            <w:r w:rsidR="0094529B">
              <w:rPr>
                <w:noProof/>
                <w:webHidden/>
              </w:rPr>
              <w:fldChar w:fldCharType="begin"/>
            </w:r>
            <w:r w:rsidR="0094529B">
              <w:rPr>
                <w:noProof/>
                <w:webHidden/>
              </w:rPr>
              <w:instrText xml:space="preserve"> PAGEREF _Toc130908746 \h </w:instrText>
            </w:r>
            <w:r w:rsidR="0094529B">
              <w:rPr>
                <w:noProof/>
                <w:webHidden/>
              </w:rPr>
            </w:r>
            <w:r w:rsidR="0094529B">
              <w:rPr>
                <w:noProof/>
                <w:webHidden/>
              </w:rPr>
              <w:fldChar w:fldCharType="separate"/>
            </w:r>
            <w:r w:rsidR="00BA4670">
              <w:rPr>
                <w:noProof/>
                <w:webHidden/>
              </w:rPr>
              <w:t>5</w:t>
            </w:r>
            <w:r w:rsidR="0094529B">
              <w:rPr>
                <w:noProof/>
                <w:webHidden/>
              </w:rPr>
              <w:fldChar w:fldCharType="end"/>
            </w:r>
          </w:hyperlink>
        </w:p>
        <w:p w14:paraId="544E9AA1" w14:textId="35466D20" w:rsidR="0094529B" w:rsidRDefault="00F44CF3">
          <w:pPr>
            <w:pStyle w:val="TOC1"/>
            <w:rPr>
              <w:noProof/>
            </w:rPr>
          </w:pPr>
          <w:hyperlink w:anchor="_Toc130908747" w:history="1">
            <w:r w:rsidR="0094529B" w:rsidRPr="00D555A4">
              <w:rPr>
                <w:rStyle w:val="Hyperlink"/>
                <w:noProof/>
              </w:rPr>
              <w:t>4</w:t>
            </w:r>
            <w:r w:rsidR="0094529B">
              <w:rPr>
                <w:noProof/>
              </w:rPr>
              <w:tab/>
            </w:r>
            <w:r w:rsidR="0094529B" w:rsidRPr="00D555A4">
              <w:rPr>
                <w:rStyle w:val="Hyperlink"/>
                <w:noProof/>
              </w:rPr>
              <w:t>Major revisions (or benchmark revisions)</w:t>
            </w:r>
            <w:r w:rsidR="0094529B">
              <w:rPr>
                <w:noProof/>
                <w:webHidden/>
              </w:rPr>
              <w:tab/>
            </w:r>
            <w:r w:rsidR="0094529B">
              <w:rPr>
                <w:noProof/>
                <w:webHidden/>
              </w:rPr>
              <w:fldChar w:fldCharType="begin"/>
            </w:r>
            <w:r w:rsidR="0094529B">
              <w:rPr>
                <w:noProof/>
                <w:webHidden/>
              </w:rPr>
              <w:instrText xml:space="preserve"> PAGEREF _Toc130908747 \h </w:instrText>
            </w:r>
            <w:r w:rsidR="0094529B">
              <w:rPr>
                <w:noProof/>
                <w:webHidden/>
              </w:rPr>
            </w:r>
            <w:r w:rsidR="0094529B">
              <w:rPr>
                <w:noProof/>
                <w:webHidden/>
              </w:rPr>
              <w:fldChar w:fldCharType="separate"/>
            </w:r>
            <w:r w:rsidR="00BA4670">
              <w:rPr>
                <w:noProof/>
                <w:webHidden/>
              </w:rPr>
              <w:t>7</w:t>
            </w:r>
            <w:r w:rsidR="0094529B">
              <w:rPr>
                <w:noProof/>
                <w:webHidden/>
              </w:rPr>
              <w:fldChar w:fldCharType="end"/>
            </w:r>
          </w:hyperlink>
        </w:p>
        <w:p w14:paraId="668EEB6D" w14:textId="29BC4843" w:rsidR="0094529B" w:rsidRDefault="00F44CF3">
          <w:pPr>
            <w:pStyle w:val="TOC1"/>
            <w:rPr>
              <w:noProof/>
            </w:rPr>
          </w:pPr>
          <w:hyperlink w:anchor="_Toc130908748" w:history="1">
            <w:r w:rsidR="0094529B" w:rsidRPr="00D555A4">
              <w:rPr>
                <w:rStyle w:val="Hyperlink"/>
                <w:noProof/>
              </w:rPr>
              <w:t>5</w:t>
            </w:r>
            <w:r w:rsidR="0094529B">
              <w:rPr>
                <w:noProof/>
              </w:rPr>
              <w:tab/>
            </w:r>
            <w:r w:rsidR="0094529B" w:rsidRPr="00D555A4">
              <w:rPr>
                <w:rStyle w:val="Hyperlink"/>
                <w:noProof/>
              </w:rPr>
              <w:t>Irregular revisions</w:t>
            </w:r>
            <w:r w:rsidR="0094529B">
              <w:rPr>
                <w:noProof/>
                <w:webHidden/>
              </w:rPr>
              <w:tab/>
            </w:r>
            <w:r w:rsidR="0094529B">
              <w:rPr>
                <w:noProof/>
                <w:webHidden/>
              </w:rPr>
              <w:fldChar w:fldCharType="begin"/>
            </w:r>
            <w:r w:rsidR="0094529B">
              <w:rPr>
                <w:noProof/>
                <w:webHidden/>
              </w:rPr>
              <w:instrText xml:space="preserve"> PAGEREF _Toc130908748 \h </w:instrText>
            </w:r>
            <w:r w:rsidR="0094529B">
              <w:rPr>
                <w:noProof/>
                <w:webHidden/>
              </w:rPr>
            </w:r>
            <w:r w:rsidR="0094529B">
              <w:rPr>
                <w:noProof/>
                <w:webHidden/>
              </w:rPr>
              <w:fldChar w:fldCharType="separate"/>
            </w:r>
            <w:r w:rsidR="00BA4670">
              <w:rPr>
                <w:noProof/>
                <w:webHidden/>
              </w:rPr>
              <w:t>8</w:t>
            </w:r>
            <w:r w:rsidR="0094529B">
              <w:rPr>
                <w:noProof/>
                <w:webHidden/>
              </w:rPr>
              <w:fldChar w:fldCharType="end"/>
            </w:r>
          </w:hyperlink>
        </w:p>
        <w:p w14:paraId="44721467" w14:textId="4990757D" w:rsidR="008775ED" w:rsidRPr="00226FA1" w:rsidRDefault="008775ED" w:rsidP="004476DB">
          <w:r w:rsidRPr="00226FA1">
            <w:rPr>
              <w:b/>
              <w:bCs/>
              <w:noProof/>
            </w:rPr>
            <w:fldChar w:fldCharType="end"/>
          </w:r>
        </w:p>
      </w:sdtContent>
    </w:sdt>
    <w:p w14:paraId="67858251" w14:textId="77777777" w:rsidR="008775ED" w:rsidRPr="00226FA1" w:rsidRDefault="008775ED" w:rsidP="008775ED">
      <w:pPr>
        <w:spacing w:after="0" w:line="276" w:lineRule="auto"/>
        <w:jc w:val="both"/>
        <w:rPr>
          <w:rFonts w:ascii="Arial" w:eastAsiaTheme="minorHAnsi" w:hAnsi="Arial" w:cstheme="majorHAnsi"/>
          <w:b/>
          <w:sz w:val="24"/>
          <w:szCs w:val="24"/>
        </w:rPr>
      </w:pPr>
    </w:p>
    <w:p w14:paraId="07E54189" w14:textId="77777777" w:rsidR="008775ED" w:rsidRPr="00226FA1" w:rsidRDefault="008775ED" w:rsidP="008775ED">
      <w:pPr>
        <w:spacing w:after="0" w:line="276" w:lineRule="auto"/>
        <w:jc w:val="both"/>
        <w:rPr>
          <w:rFonts w:ascii="Arial" w:eastAsiaTheme="minorHAnsi" w:hAnsi="Arial" w:cstheme="majorHAnsi"/>
          <w:b/>
          <w:sz w:val="24"/>
          <w:szCs w:val="24"/>
        </w:rPr>
      </w:pPr>
    </w:p>
    <w:p w14:paraId="010FCBA9" w14:textId="77777777" w:rsidR="008775ED" w:rsidRPr="00226FA1" w:rsidRDefault="008775ED" w:rsidP="008775ED">
      <w:pPr>
        <w:spacing w:after="0" w:line="276" w:lineRule="auto"/>
        <w:jc w:val="both"/>
        <w:rPr>
          <w:rFonts w:ascii="Arial" w:eastAsiaTheme="minorHAnsi" w:hAnsi="Arial" w:cstheme="majorHAnsi"/>
          <w:b/>
          <w:sz w:val="24"/>
          <w:szCs w:val="24"/>
        </w:rPr>
      </w:pPr>
    </w:p>
    <w:p w14:paraId="5604D049" w14:textId="77777777" w:rsidR="008775ED" w:rsidRPr="00226FA1" w:rsidRDefault="008775ED" w:rsidP="008775ED">
      <w:pPr>
        <w:spacing w:after="0" w:line="276" w:lineRule="auto"/>
        <w:jc w:val="both"/>
        <w:rPr>
          <w:rFonts w:ascii="Arial" w:eastAsiaTheme="minorHAnsi" w:hAnsi="Arial" w:cstheme="majorHAnsi"/>
          <w:b/>
          <w:sz w:val="24"/>
          <w:szCs w:val="24"/>
        </w:rPr>
      </w:pPr>
    </w:p>
    <w:p w14:paraId="11B75BB6" w14:textId="77777777" w:rsidR="008775ED" w:rsidRPr="00226FA1" w:rsidRDefault="008775ED" w:rsidP="008775ED">
      <w:pPr>
        <w:spacing w:after="0" w:line="276" w:lineRule="auto"/>
        <w:jc w:val="both"/>
        <w:rPr>
          <w:rFonts w:ascii="Arial" w:eastAsiaTheme="minorHAnsi" w:hAnsi="Arial" w:cstheme="majorHAnsi"/>
          <w:b/>
          <w:sz w:val="24"/>
          <w:szCs w:val="24"/>
        </w:rPr>
      </w:pPr>
    </w:p>
    <w:p w14:paraId="4246163B" w14:textId="77777777" w:rsidR="008775ED" w:rsidRPr="00226FA1" w:rsidRDefault="008775ED" w:rsidP="008775ED">
      <w:pPr>
        <w:spacing w:after="0" w:line="276" w:lineRule="auto"/>
        <w:jc w:val="both"/>
        <w:rPr>
          <w:rFonts w:ascii="Arial" w:eastAsiaTheme="minorHAnsi" w:hAnsi="Arial" w:cstheme="majorHAnsi"/>
          <w:b/>
          <w:sz w:val="24"/>
          <w:szCs w:val="24"/>
        </w:rPr>
      </w:pPr>
    </w:p>
    <w:p w14:paraId="15CFA95B" w14:textId="77777777" w:rsidR="008775ED" w:rsidRPr="00226FA1" w:rsidRDefault="008775ED" w:rsidP="008775ED">
      <w:pPr>
        <w:spacing w:after="0" w:line="276" w:lineRule="auto"/>
        <w:jc w:val="both"/>
        <w:rPr>
          <w:rFonts w:ascii="Arial" w:eastAsiaTheme="minorHAnsi" w:hAnsi="Arial" w:cstheme="majorHAnsi"/>
          <w:b/>
          <w:sz w:val="24"/>
          <w:szCs w:val="24"/>
        </w:rPr>
      </w:pPr>
    </w:p>
    <w:p w14:paraId="5AA0CC51" w14:textId="77777777" w:rsidR="008775ED" w:rsidRPr="00226FA1" w:rsidRDefault="008775ED" w:rsidP="008775ED">
      <w:pPr>
        <w:spacing w:after="0" w:line="276" w:lineRule="auto"/>
        <w:jc w:val="both"/>
        <w:rPr>
          <w:rFonts w:ascii="Arial" w:eastAsiaTheme="minorHAnsi" w:hAnsi="Arial" w:cstheme="majorHAnsi"/>
          <w:b/>
          <w:sz w:val="24"/>
          <w:szCs w:val="24"/>
        </w:rPr>
      </w:pPr>
    </w:p>
    <w:p w14:paraId="65CB2B78" w14:textId="77777777" w:rsidR="008775ED" w:rsidRPr="00226FA1" w:rsidRDefault="008775ED" w:rsidP="008775ED">
      <w:pPr>
        <w:spacing w:after="0" w:line="276" w:lineRule="auto"/>
        <w:jc w:val="both"/>
        <w:rPr>
          <w:rFonts w:ascii="Arial" w:eastAsiaTheme="minorHAnsi" w:hAnsi="Arial" w:cstheme="majorHAnsi"/>
          <w:b/>
          <w:sz w:val="24"/>
          <w:szCs w:val="24"/>
        </w:rPr>
      </w:pPr>
    </w:p>
    <w:p w14:paraId="3E4F97F3" w14:textId="77777777" w:rsidR="008775ED" w:rsidRPr="00226FA1" w:rsidRDefault="008775ED" w:rsidP="008775ED">
      <w:pPr>
        <w:spacing w:after="0" w:line="276" w:lineRule="auto"/>
        <w:jc w:val="both"/>
        <w:rPr>
          <w:rFonts w:ascii="Arial" w:eastAsiaTheme="minorHAnsi" w:hAnsi="Arial" w:cstheme="majorHAnsi"/>
          <w:b/>
          <w:sz w:val="24"/>
          <w:szCs w:val="24"/>
        </w:rPr>
      </w:pPr>
    </w:p>
    <w:p w14:paraId="0E851AB3" w14:textId="77777777" w:rsidR="008775ED" w:rsidRPr="00226FA1" w:rsidRDefault="008775ED" w:rsidP="008775ED">
      <w:pPr>
        <w:spacing w:after="0" w:line="276" w:lineRule="auto"/>
        <w:jc w:val="both"/>
        <w:rPr>
          <w:rFonts w:ascii="Arial" w:eastAsiaTheme="minorHAnsi" w:hAnsi="Arial" w:cstheme="majorHAnsi"/>
          <w:b/>
          <w:sz w:val="24"/>
          <w:szCs w:val="24"/>
        </w:rPr>
      </w:pPr>
    </w:p>
    <w:p w14:paraId="2646604D" w14:textId="6987D96D" w:rsidR="008775ED" w:rsidRPr="00226FA1" w:rsidRDefault="008775ED" w:rsidP="008775ED">
      <w:pPr>
        <w:spacing w:after="0" w:line="276" w:lineRule="auto"/>
        <w:jc w:val="both"/>
        <w:rPr>
          <w:rFonts w:ascii="Arial" w:eastAsiaTheme="minorHAnsi" w:hAnsi="Arial" w:cstheme="majorHAnsi"/>
          <w:b/>
          <w:sz w:val="24"/>
          <w:szCs w:val="24"/>
        </w:rPr>
      </w:pPr>
    </w:p>
    <w:p w14:paraId="1BAD1047" w14:textId="69D7304A" w:rsidR="004476DB" w:rsidRDefault="004476DB" w:rsidP="008775ED">
      <w:pPr>
        <w:spacing w:after="0" w:line="276" w:lineRule="auto"/>
        <w:jc w:val="both"/>
        <w:rPr>
          <w:rFonts w:ascii="Arial" w:eastAsiaTheme="minorHAnsi" w:hAnsi="Arial" w:cstheme="majorHAnsi"/>
          <w:b/>
          <w:sz w:val="24"/>
          <w:szCs w:val="24"/>
        </w:rPr>
      </w:pPr>
    </w:p>
    <w:p w14:paraId="7F646FB4" w14:textId="7503FE85" w:rsidR="00E3064E" w:rsidRDefault="00E3064E" w:rsidP="008775ED">
      <w:pPr>
        <w:spacing w:after="0" w:line="276" w:lineRule="auto"/>
        <w:jc w:val="both"/>
        <w:rPr>
          <w:rFonts w:ascii="Arial" w:eastAsiaTheme="minorHAnsi" w:hAnsi="Arial" w:cstheme="majorHAnsi"/>
          <w:b/>
          <w:sz w:val="24"/>
          <w:szCs w:val="24"/>
        </w:rPr>
      </w:pPr>
    </w:p>
    <w:p w14:paraId="3548289B" w14:textId="235B449C" w:rsidR="00E3064E" w:rsidRDefault="00E3064E" w:rsidP="008775ED">
      <w:pPr>
        <w:spacing w:after="0" w:line="276" w:lineRule="auto"/>
        <w:jc w:val="both"/>
        <w:rPr>
          <w:rFonts w:ascii="Arial" w:eastAsiaTheme="minorHAnsi" w:hAnsi="Arial" w:cstheme="majorHAnsi"/>
          <w:b/>
          <w:sz w:val="24"/>
          <w:szCs w:val="24"/>
        </w:rPr>
      </w:pPr>
    </w:p>
    <w:p w14:paraId="7F63CCF1" w14:textId="77777777" w:rsidR="00E3064E" w:rsidRPr="00226FA1" w:rsidRDefault="00E3064E" w:rsidP="008775ED">
      <w:pPr>
        <w:spacing w:after="0" w:line="276" w:lineRule="auto"/>
        <w:jc w:val="both"/>
        <w:rPr>
          <w:rFonts w:ascii="Arial" w:eastAsiaTheme="minorHAnsi" w:hAnsi="Arial" w:cstheme="majorHAnsi"/>
          <w:b/>
          <w:sz w:val="24"/>
          <w:szCs w:val="24"/>
        </w:rPr>
      </w:pPr>
    </w:p>
    <w:p w14:paraId="2FD92268" w14:textId="720A89B9" w:rsidR="008775ED" w:rsidRPr="00226FA1" w:rsidRDefault="008775ED" w:rsidP="008775ED">
      <w:pPr>
        <w:spacing w:after="0" w:line="276" w:lineRule="auto"/>
        <w:jc w:val="both"/>
        <w:rPr>
          <w:rFonts w:ascii="Arial" w:eastAsiaTheme="minorHAnsi" w:hAnsi="Arial" w:cstheme="majorHAnsi"/>
          <w:b/>
          <w:sz w:val="24"/>
          <w:szCs w:val="24"/>
        </w:rPr>
      </w:pPr>
    </w:p>
    <w:p w14:paraId="19526A68" w14:textId="77FAF29E" w:rsidR="00CA16E9" w:rsidRDefault="00CA16E9" w:rsidP="008775ED">
      <w:pPr>
        <w:spacing w:after="0" w:line="276" w:lineRule="auto"/>
        <w:jc w:val="both"/>
        <w:rPr>
          <w:rFonts w:ascii="Arial" w:eastAsiaTheme="minorHAnsi" w:hAnsi="Arial" w:cstheme="majorHAnsi"/>
          <w:b/>
          <w:sz w:val="24"/>
          <w:szCs w:val="24"/>
        </w:rPr>
      </w:pPr>
    </w:p>
    <w:p w14:paraId="713A9FFD" w14:textId="6DDEBEFD" w:rsidR="00286904" w:rsidRDefault="00286904" w:rsidP="008775ED">
      <w:pPr>
        <w:spacing w:after="0" w:line="276" w:lineRule="auto"/>
        <w:jc w:val="both"/>
        <w:rPr>
          <w:rFonts w:ascii="Arial" w:eastAsiaTheme="minorHAnsi" w:hAnsi="Arial" w:cstheme="majorHAnsi"/>
          <w:b/>
          <w:sz w:val="24"/>
          <w:szCs w:val="24"/>
        </w:rPr>
      </w:pPr>
    </w:p>
    <w:p w14:paraId="3809B04C" w14:textId="77777777" w:rsidR="008775ED" w:rsidRPr="00226FA1" w:rsidRDefault="008775ED" w:rsidP="008775ED">
      <w:pPr>
        <w:pStyle w:val="Heading1"/>
        <w:rPr>
          <w:rFonts w:eastAsiaTheme="minorHAnsi"/>
        </w:rPr>
      </w:pPr>
      <w:bookmarkStart w:id="0" w:name="_Toc130908744"/>
      <w:r w:rsidRPr="00226FA1">
        <w:rPr>
          <w:rFonts w:eastAsiaTheme="minorHAnsi"/>
        </w:rPr>
        <w:lastRenderedPageBreak/>
        <w:t>Introduction</w:t>
      </w:r>
      <w:bookmarkEnd w:id="0"/>
    </w:p>
    <w:p w14:paraId="66BD1625" w14:textId="77777777" w:rsidR="008775ED" w:rsidRPr="00226FA1" w:rsidRDefault="008775ED" w:rsidP="008775ED">
      <w:pPr>
        <w:spacing w:after="0" w:line="276" w:lineRule="auto"/>
        <w:jc w:val="both"/>
        <w:rPr>
          <w:rFonts w:asciiTheme="majorHAnsi" w:eastAsiaTheme="minorHAnsi" w:hAnsiTheme="majorHAnsi" w:cstheme="majorHAnsi"/>
          <w:sz w:val="18"/>
          <w:szCs w:val="18"/>
        </w:rPr>
      </w:pPr>
    </w:p>
    <w:p w14:paraId="7F076EAA" w14:textId="3FDC9321" w:rsidR="008775ED" w:rsidRPr="00226FA1" w:rsidRDefault="008775ED" w:rsidP="008775ED">
      <w:pPr>
        <w:spacing w:after="0" w:line="276" w:lineRule="auto"/>
        <w:jc w:val="both"/>
        <w:rPr>
          <w:rFonts w:asciiTheme="majorHAnsi" w:eastAsiaTheme="minorHAnsi" w:hAnsiTheme="majorHAnsi" w:cstheme="majorHAnsi"/>
          <w:sz w:val="20"/>
          <w:szCs w:val="20"/>
        </w:rPr>
      </w:pPr>
      <w:r w:rsidRPr="00226FA1">
        <w:rPr>
          <w:rFonts w:asciiTheme="majorHAnsi" w:eastAsiaTheme="minorHAnsi" w:hAnsiTheme="majorHAnsi" w:cstheme="majorHAnsi"/>
          <w:sz w:val="20"/>
          <w:szCs w:val="20"/>
        </w:rPr>
        <w:t xml:space="preserve">The purpose of this document is to present the main principles and standards </w:t>
      </w:r>
      <w:r w:rsidR="00E339F2">
        <w:rPr>
          <w:rFonts w:asciiTheme="majorHAnsi" w:eastAsiaTheme="minorHAnsi" w:hAnsiTheme="majorHAnsi" w:cstheme="majorHAnsi"/>
          <w:sz w:val="20"/>
          <w:szCs w:val="20"/>
        </w:rPr>
        <w:t>for</w:t>
      </w:r>
      <w:r w:rsidR="00E339F2" w:rsidRPr="00226FA1">
        <w:rPr>
          <w:rFonts w:asciiTheme="majorHAnsi" w:eastAsiaTheme="minorHAnsi" w:hAnsiTheme="majorHAnsi" w:cstheme="majorHAnsi"/>
          <w:sz w:val="20"/>
          <w:szCs w:val="20"/>
        </w:rPr>
        <w:t xml:space="preserve"> </w:t>
      </w:r>
      <w:r w:rsidRPr="00226FA1">
        <w:rPr>
          <w:rFonts w:asciiTheme="majorHAnsi" w:eastAsiaTheme="minorHAnsi" w:hAnsiTheme="majorHAnsi" w:cstheme="majorHAnsi"/>
          <w:sz w:val="20"/>
          <w:szCs w:val="20"/>
        </w:rPr>
        <w:t xml:space="preserve">the revisions of released national accounts data produced according to the </w:t>
      </w:r>
      <w:r w:rsidR="006D03A3" w:rsidRPr="00226FA1">
        <w:rPr>
          <w:rFonts w:asciiTheme="majorHAnsi" w:eastAsiaTheme="minorHAnsi" w:hAnsiTheme="majorHAnsi" w:cstheme="majorHAnsi"/>
          <w:sz w:val="20"/>
          <w:szCs w:val="20"/>
        </w:rPr>
        <w:t>European System of National and Regional Accounts</w:t>
      </w:r>
      <w:r w:rsidR="006D03A3" w:rsidRPr="00226FA1">
        <w:t xml:space="preserve"> </w:t>
      </w:r>
      <w:r w:rsidRPr="00226FA1">
        <w:rPr>
          <w:rFonts w:asciiTheme="majorHAnsi" w:eastAsiaTheme="minorHAnsi" w:hAnsiTheme="majorHAnsi" w:cstheme="majorHAnsi"/>
          <w:sz w:val="20"/>
          <w:szCs w:val="20"/>
        </w:rPr>
        <w:t>(</w:t>
      </w:r>
      <w:r w:rsidRPr="00E3064E">
        <w:rPr>
          <w:rFonts w:asciiTheme="majorHAnsi" w:eastAsiaTheme="minorHAnsi" w:hAnsiTheme="majorHAnsi" w:cstheme="majorHAnsi"/>
          <w:sz w:val="20"/>
          <w:szCs w:val="20"/>
          <w:lang w:val="sr-Cyrl-RS"/>
        </w:rPr>
        <w:t>ESA 2010</w:t>
      </w:r>
      <w:r w:rsidRPr="00226FA1">
        <w:rPr>
          <w:rFonts w:asciiTheme="majorHAnsi" w:eastAsiaTheme="minorHAnsi" w:hAnsiTheme="majorHAnsi" w:cstheme="majorHAnsi"/>
          <w:sz w:val="20"/>
          <w:szCs w:val="20"/>
        </w:rPr>
        <w:t xml:space="preserve">). The Revision Policy of the Statistical Office of the Republic of Serbia (SORS) </w:t>
      </w:r>
      <w:r w:rsidR="00B20F51" w:rsidRPr="00226FA1">
        <w:rPr>
          <w:rFonts w:asciiTheme="majorHAnsi" w:eastAsiaTheme="minorHAnsi" w:hAnsiTheme="majorHAnsi" w:cstheme="majorHAnsi"/>
          <w:sz w:val="20"/>
          <w:szCs w:val="20"/>
        </w:rPr>
        <w:t xml:space="preserve">is in line with the national release calendar and </w:t>
      </w:r>
      <w:r w:rsidR="00292F43">
        <w:rPr>
          <w:rFonts w:asciiTheme="majorHAnsi" w:eastAsiaTheme="minorHAnsi" w:hAnsiTheme="majorHAnsi" w:cstheme="majorHAnsi"/>
          <w:sz w:val="20"/>
          <w:szCs w:val="20"/>
        </w:rPr>
        <w:t>compliant</w:t>
      </w:r>
      <w:r w:rsidR="00292F43" w:rsidRPr="00226FA1">
        <w:rPr>
          <w:rFonts w:asciiTheme="majorHAnsi" w:eastAsiaTheme="minorHAnsi" w:hAnsiTheme="majorHAnsi" w:cstheme="majorHAnsi"/>
          <w:sz w:val="20"/>
          <w:szCs w:val="20"/>
        </w:rPr>
        <w:t xml:space="preserve"> </w:t>
      </w:r>
      <w:r w:rsidRPr="00226FA1">
        <w:rPr>
          <w:rFonts w:asciiTheme="majorHAnsi" w:eastAsiaTheme="minorHAnsi" w:hAnsiTheme="majorHAnsi" w:cstheme="majorHAnsi"/>
          <w:sz w:val="20"/>
          <w:szCs w:val="20"/>
        </w:rPr>
        <w:t xml:space="preserve">with the guiding principles </w:t>
      </w:r>
      <w:r w:rsidR="00083342">
        <w:rPr>
          <w:rFonts w:asciiTheme="majorHAnsi" w:eastAsiaTheme="minorHAnsi" w:hAnsiTheme="majorHAnsi" w:cstheme="majorHAnsi"/>
          <w:sz w:val="20"/>
          <w:szCs w:val="20"/>
        </w:rPr>
        <w:t>of</w:t>
      </w:r>
      <w:r w:rsidR="00083342" w:rsidRPr="00226FA1">
        <w:rPr>
          <w:rFonts w:asciiTheme="majorHAnsi" w:eastAsiaTheme="minorHAnsi" w:hAnsiTheme="majorHAnsi" w:cstheme="majorHAnsi"/>
          <w:sz w:val="20"/>
          <w:szCs w:val="20"/>
        </w:rPr>
        <w:t xml:space="preserve"> </w:t>
      </w:r>
      <w:r w:rsidRPr="00226FA1">
        <w:rPr>
          <w:rFonts w:asciiTheme="majorHAnsi" w:eastAsiaTheme="minorHAnsi" w:hAnsiTheme="majorHAnsi" w:cstheme="majorHAnsi"/>
          <w:sz w:val="20"/>
          <w:szCs w:val="20"/>
        </w:rPr>
        <w:t>the harmonized European revision policy</w:t>
      </w:r>
      <w:r w:rsidRPr="00226FA1">
        <w:rPr>
          <w:rFonts w:asciiTheme="majorHAnsi" w:eastAsiaTheme="minorHAnsi" w:hAnsiTheme="majorHAnsi" w:cstheme="majorHAnsi"/>
          <w:sz w:val="20"/>
          <w:szCs w:val="20"/>
          <w:vertAlign w:val="superscript"/>
        </w:rPr>
        <w:footnoteReference w:id="1"/>
      </w:r>
      <w:r w:rsidRPr="00226FA1">
        <w:rPr>
          <w:rFonts w:asciiTheme="majorHAnsi" w:eastAsiaTheme="minorHAnsi" w:hAnsiTheme="majorHAnsi" w:cstheme="majorHAnsi"/>
          <w:sz w:val="20"/>
          <w:szCs w:val="20"/>
        </w:rPr>
        <w:t xml:space="preserve"> and </w:t>
      </w:r>
      <w:r w:rsidR="00BD3635">
        <w:rPr>
          <w:rFonts w:asciiTheme="majorHAnsi" w:eastAsiaTheme="minorHAnsi" w:hAnsiTheme="majorHAnsi" w:cstheme="majorHAnsi"/>
          <w:sz w:val="20"/>
          <w:szCs w:val="20"/>
        </w:rPr>
        <w:t xml:space="preserve">Eurostat </w:t>
      </w:r>
      <w:r w:rsidRPr="00226FA1">
        <w:rPr>
          <w:rFonts w:asciiTheme="majorHAnsi" w:eastAsiaTheme="minorHAnsi" w:hAnsiTheme="majorHAnsi" w:cstheme="majorHAnsi"/>
          <w:sz w:val="20"/>
          <w:szCs w:val="20"/>
        </w:rPr>
        <w:t>recommendations on revising ESA 2010 data</w:t>
      </w:r>
      <w:r w:rsidRPr="00226FA1">
        <w:rPr>
          <w:rFonts w:asciiTheme="majorHAnsi" w:eastAsiaTheme="minorHAnsi" w:hAnsiTheme="majorHAnsi" w:cstheme="majorHAnsi"/>
          <w:sz w:val="20"/>
          <w:szCs w:val="20"/>
          <w:vertAlign w:val="superscript"/>
        </w:rPr>
        <w:footnoteReference w:id="2"/>
      </w:r>
      <w:r w:rsidRPr="00226FA1">
        <w:rPr>
          <w:rFonts w:asciiTheme="majorHAnsi" w:eastAsiaTheme="minorHAnsi" w:hAnsiTheme="majorHAnsi" w:cstheme="majorHAnsi"/>
          <w:sz w:val="20"/>
          <w:szCs w:val="20"/>
        </w:rPr>
        <w:t>.</w:t>
      </w:r>
    </w:p>
    <w:p w14:paraId="5B2D7F2B" w14:textId="77777777" w:rsidR="008775ED" w:rsidRPr="00226FA1" w:rsidRDefault="008775ED" w:rsidP="008775ED">
      <w:pPr>
        <w:spacing w:after="0" w:line="276" w:lineRule="auto"/>
        <w:jc w:val="both"/>
        <w:rPr>
          <w:rFonts w:asciiTheme="majorHAnsi" w:eastAsiaTheme="minorHAnsi" w:hAnsiTheme="majorHAnsi" w:cstheme="majorHAnsi"/>
          <w:sz w:val="20"/>
          <w:szCs w:val="20"/>
        </w:rPr>
      </w:pPr>
    </w:p>
    <w:p w14:paraId="7B7487EF" w14:textId="6B0AC124" w:rsidR="008775ED" w:rsidRPr="00226FA1" w:rsidRDefault="008775ED" w:rsidP="008775ED">
      <w:pPr>
        <w:spacing w:after="0" w:line="276" w:lineRule="auto"/>
        <w:jc w:val="both"/>
        <w:rPr>
          <w:rFonts w:asciiTheme="majorHAnsi" w:eastAsiaTheme="minorHAnsi" w:hAnsiTheme="majorHAnsi" w:cstheme="majorHAnsi"/>
          <w:sz w:val="20"/>
          <w:szCs w:val="20"/>
        </w:rPr>
      </w:pPr>
      <w:r w:rsidRPr="00226FA1">
        <w:rPr>
          <w:rFonts w:asciiTheme="majorHAnsi" w:eastAsiaTheme="minorHAnsi" w:hAnsiTheme="majorHAnsi" w:cstheme="majorHAnsi"/>
          <w:sz w:val="20"/>
          <w:szCs w:val="20"/>
        </w:rPr>
        <w:t xml:space="preserve">The revision policy establishes the rules for the revisions of released statistics, </w:t>
      </w:r>
      <w:r w:rsidR="00BD3635">
        <w:rPr>
          <w:rFonts w:asciiTheme="majorHAnsi" w:eastAsiaTheme="minorHAnsi" w:hAnsiTheme="majorHAnsi" w:cstheme="majorHAnsi"/>
          <w:sz w:val="20"/>
          <w:szCs w:val="20"/>
        </w:rPr>
        <w:t>informing</w:t>
      </w:r>
      <w:r w:rsidRPr="00226FA1">
        <w:rPr>
          <w:rFonts w:asciiTheme="majorHAnsi" w:eastAsiaTheme="minorHAnsi" w:hAnsiTheme="majorHAnsi" w:cstheme="majorHAnsi"/>
          <w:sz w:val="20"/>
          <w:szCs w:val="20"/>
        </w:rPr>
        <w:t xml:space="preserve"> the users about possible causes for revisions, typology of revisions, and the supporting documentation covering all revision aspects. </w:t>
      </w:r>
    </w:p>
    <w:p w14:paraId="408FCA92" w14:textId="77777777" w:rsidR="008775ED" w:rsidRPr="00226FA1" w:rsidRDefault="008775ED" w:rsidP="008775ED">
      <w:pPr>
        <w:spacing w:after="0" w:line="276" w:lineRule="auto"/>
        <w:jc w:val="both"/>
        <w:rPr>
          <w:rFonts w:asciiTheme="majorHAnsi" w:eastAsiaTheme="minorHAnsi" w:hAnsiTheme="majorHAnsi" w:cstheme="majorHAnsi"/>
          <w:sz w:val="20"/>
          <w:szCs w:val="20"/>
        </w:rPr>
      </w:pPr>
    </w:p>
    <w:p w14:paraId="675B087F" w14:textId="591F5A2E" w:rsidR="008775ED" w:rsidRPr="00226FA1" w:rsidRDefault="009E19F8" w:rsidP="008775ED">
      <w:pPr>
        <w:spacing w:after="0" w:line="276" w:lineRule="auto"/>
        <w:jc w:val="both"/>
        <w:rPr>
          <w:rFonts w:asciiTheme="majorHAnsi" w:eastAsiaTheme="minorHAnsi" w:hAnsiTheme="majorHAnsi" w:cstheme="majorHAnsi"/>
          <w:sz w:val="20"/>
          <w:szCs w:val="20"/>
        </w:rPr>
      </w:pPr>
      <w:r>
        <w:rPr>
          <w:rFonts w:asciiTheme="majorHAnsi" w:eastAsiaTheme="minorHAnsi" w:hAnsiTheme="majorHAnsi" w:cstheme="majorHAnsi"/>
          <w:sz w:val="20"/>
          <w:szCs w:val="20"/>
        </w:rPr>
        <w:t>The s</w:t>
      </w:r>
      <w:r w:rsidR="008775ED" w:rsidRPr="00226FA1">
        <w:rPr>
          <w:rFonts w:asciiTheme="majorHAnsi" w:eastAsiaTheme="minorHAnsi" w:hAnsiTheme="majorHAnsi" w:cstheme="majorHAnsi"/>
          <w:sz w:val="20"/>
          <w:szCs w:val="20"/>
        </w:rPr>
        <w:t xml:space="preserve">ystem of national accounts is the macroeconomic system of data </w:t>
      </w:r>
      <w:r w:rsidR="00083342">
        <w:rPr>
          <w:rFonts w:asciiTheme="majorHAnsi" w:eastAsiaTheme="minorHAnsi" w:hAnsiTheme="majorHAnsi" w:cstheme="majorHAnsi"/>
          <w:sz w:val="20"/>
          <w:szCs w:val="20"/>
        </w:rPr>
        <w:t>that provides an</w:t>
      </w:r>
      <w:r w:rsidR="00083342" w:rsidRPr="00226FA1">
        <w:rPr>
          <w:rFonts w:asciiTheme="majorHAnsi" w:eastAsiaTheme="minorHAnsi" w:hAnsiTheme="majorHAnsi" w:cstheme="majorHAnsi"/>
          <w:sz w:val="20"/>
          <w:szCs w:val="20"/>
        </w:rPr>
        <w:t xml:space="preserve"> </w:t>
      </w:r>
      <w:r w:rsidR="008775ED" w:rsidRPr="00226FA1">
        <w:rPr>
          <w:rFonts w:asciiTheme="majorHAnsi" w:eastAsiaTheme="minorHAnsi" w:hAnsiTheme="majorHAnsi" w:cstheme="majorHAnsi"/>
          <w:sz w:val="20"/>
          <w:szCs w:val="20"/>
        </w:rPr>
        <w:t xml:space="preserve">insight </w:t>
      </w:r>
      <w:r w:rsidR="00083342" w:rsidRPr="00226FA1">
        <w:rPr>
          <w:rFonts w:asciiTheme="majorHAnsi" w:eastAsiaTheme="minorHAnsi" w:hAnsiTheme="majorHAnsi" w:cstheme="majorHAnsi"/>
          <w:sz w:val="20"/>
          <w:szCs w:val="20"/>
        </w:rPr>
        <w:t>into</w:t>
      </w:r>
      <w:r w:rsidR="008775ED" w:rsidRPr="00226FA1">
        <w:rPr>
          <w:rFonts w:asciiTheme="majorHAnsi" w:eastAsiaTheme="minorHAnsi" w:hAnsiTheme="majorHAnsi" w:cstheme="majorHAnsi"/>
          <w:sz w:val="20"/>
          <w:szCs w:val="20"/>
        </w:rPr>
        <w:t xml:space="preserve"> </w:t>
      </w:r>
      <w:r w:rsidRPr="00226FA1">
        <w:rPr>
          <w:rFonts w:asciiTheme="majorHAnsi" w:eastAsiaTheme="minorHAnsi" w:hAnsiTheme="majorHAnsi" w:cstheme="majorHAnsi"/>
          <w:sz w:val="20"/>
          <w:szCs w:val="20"/>
        </w:rPr>
        <w:t xml:space="preserve">the </w:t>
      </w:r>
      <w:r w:rsidR="008775ED" w:rsidRPr="00226FA1">
        <w:rPr>
          <w:rFonts w:asciiTheme="majorHAnsi" w:eastAsiaTheme="minorHAnsi" w:hAnsiTheme="majorHAnsi" w:cstheme="majorHAnsi"/>
          <w:sz w:val="20"/>
          <w:szCs w:val="20"/>
        </w:rPr>
        <w:t xml:space="preserve">total economy. The accounts take the central position in the statistical system and are </w:t>
      </w:r>
      <w:r>
        <w:rPr>
          <w:rFonts w:asciiTheme="majorHAnsi" w:eastAsiaTheme="minorHAnsi" w:hAnsiTheme="majorHAnsi" w:cstheme="majorHAnsi"/>
          <w:sz w:val="20"/>
          <w:szCs w:val="20"/>
        </w:rPr>
        <w:t xml:space="preserve">an </w:t>
      </w:r>
      <w:r w:rsidR="008775ED" w:rsidRPr="00226FA1">
        <w:rPr>
          <w:rFonts w:asciiTheme="majorHAnsi" w:eastAsiaTheme="minorHAnsi" w:hAnsiTheme="majorHAnsi" w:cstheme="majorHAnsi"/>
          <w:sz w:val="20"/>
          <w:szCs w:val="20"/>
        </w:rPr>
        <w:t xml:space="preserve">important basis for economic policy management and decision making since they enable measuring of economic development level, economic growth rate, changes in production, consumption, savings, </w:t>
      </w:r>
      <w:proofErr w:type="gramStart"/>
      <w:r w:rsidR="008775ED" w:rsidRPr="00226FA1">
        <w:rPr>
          <w:rFonts w:asciiTheme="majorHAnsi" w:eastAsiaTheme="minorHAnsi" w:hAnsiTheme="majorHAnsi" w:cstheme="majorHAnsi"/>
          <w:sz w:val="20"/>
          <w:szCs w:val="20"/>
        </w:rPr>
        <w:t>investments</w:t>
      </w:r>
      <w:proofErr w:type="gramEnd"/>
      <w:r w:rsidR="008775ED" w:rsidRPr="00226FA1">
        <w:rPr>
          <w:rFonts w:asciiTheme="majorHAnsi" w:eastAsiaTheme="minorHAnsi" w:hAnsiTheme="majorHAnsi" w:cstheme="majorHAnsi"/>
          <w:sz w:val="20"/>
          <w:szCs w:val="20"/>
        </w:rPr>
        <w:t xml:space="preserve"> in fixed assets, exports and imports.</w:t>
      </w:r>
    </w:p>
    <w:p w14:paraId="2A61D897" w14:textId="77777777" w:rsidR="008775ED" w:rsidRPr="00226FA1" w:rsidRDefault="008775ED" w:rsidP="008775ED">
      <w:pPr>
        <w:spacing w:after="0" w:line="276" w:lineRule="auto"/>
        <w:jc w:val="both"/>
        <w:rPr>
          <w:rFonts w:asciiTheme="majorHAnsi" w:eastAsiaTheme="minorHAnsi" w:hAnsiTheme="majorHAnsi" w:cstheme="majorHAnsi"/>
          <w:sz w:val="20"/>
          <w:szCs w:val="20"/>
        </w:rPr>
      </w:pPr>
    </w:p>
    <w:p w14:paraId="06BED447" w14:textId="032DCB34" w:rsidR="008775ED" w:rsidRPr="00226FA1" w:rsidRDefault="008775ED" w:rsidP="008775ED">
      <w:pPr>
        <w:spacing w:after="0" w:line="276" w:lineRule="auto"/>
        <w:jc w:val="both"/>
        <w:rPr>
          <w:rFonts w:asciiTheme="majorHAnsi" w:eastAsiaTheme="minorHAnsi" w:hAnsiTheme="majorHAnsi" w:cstheme="majorHAnsi"/>
          <w:sz w:val="20"/>
          <w:szCs w:val="20"/>
        </w:rPr>
      </w:pPr>
      <w:r w:rsidRPr="00226FA1">
        <w:rPr>
          <w:rFonts w:asciiTheme="majorHAnsi" w:eastAsiaTheme="minorHAnsi" w:hAnsiTheme="majorHAnsi" w:cstheme="majorHAnsi"/>
          <w:sz w:val="20"/>
          <w:szCs w:val="20"/>
        </w:rPr>
        <w:t xml:space="preserve">By defining the revision policy, SORS follows the vision of the integrated statistical system where the releases and revisions of statistical data are coordinated and </w:t>
      </w:r>
      <w:r w:rsidR="000F4530" w:rsidRPr="00226FA1">
        <w:rPr>
          <w:rFonts w:asciiTheme="majorHAnsi" w:eastAsiaTheme="minorHAnsi" w:hAnsiTheme="majorHAnsi" w:cstheme="majorHAnsi"/>
          <w:sz w:val="20"/>
          <w:szCs w:val="20"/>
        </w:rPr>
        <w:t>synchronized and</w:t>
      </w:r>
      <w:r w:rsidR="00915106">
        <w:rPr>
          <w:rFonts w:asciiTheme="majorHAnsi" w:eastAsiaTheme="minorHAnsi" w:hAnsiTheme="majorHAnsi" w:cstheme="majorHAnsi"/>
          <w:sz w:val="20"/>
          <w:szCs w:val="20"/>
        </w:rPr>
        <w:t xml:space="preserve"> thereby</w:t>
      </w:r>
      <w:r w:rsidRPr="00226FA1">
        <w:rPr>
          <w:rFonts w:asciiTheme="majorHAnsi" w:eastAsiaTheme="minorHAnsi" w:hAnsiTheme="majorHAnsi" w:cstheme="majorHAnsi"/>
          <w:sz w:val="20"/>
          <w:szCs w:val="20"/>
        </w:rPr>
        <w:t xml:space="preserve"> provide maximum transparency for the users </w:t>
      </w:r>
      <w:r w:rsidR="00915106">
        <w:rPr>
          <w:rFonts w:asciiTheme="majorHAnsi" w:eastAsiaTheme="minorHAnsi" w:hAnsiTheme="majorHAnsi" w:cstheme="majorHAnsi"/>
          <w:sz w:val="20"/>
          <w:szCs w:val="20"/>
        </w:rPr>
        <w:t>ensured</w:t>
      </w:r>
      <w:r w:rsidR="00915106" w:rsidRPr="00226FA1">
        <w:rPr>
          <w:rFonts w:asciiTheme="majorHAnsi" w:eastAsiaTheme="minorHAnsi" w:hAnsiTheme="majorHAnsi" w:cstheme="majorHAnsi"/>
          <w:sz w:val="20"/>
          <w:szCs w:val="20"/>
        </w:rPr>
        <w:t xml:space="preserve"> </w:t>
      </w:r>
      <w:r w:rsidRPr="00226FA1">
        <w:rPr>
          <w:rFonts w:asciiTheme="majorHAnsi" w:eastAsiaTheme="minorHAnsi" w:hAnsiTheme="majorHAnsi" w:cstheme="majorHAnsi"/>
          <w:sz w:val="20"/>
          <w:szCs w:val="20"/>
        </w:rPr>
        <w:t>through the clear presentation of revision policies and statistical practice.</w:t>
      </w:r>
    </w:p>
    <w:p w14:paraId="61E25CD7" w14:textId="77777777" w:rsidR="008775ED" w:rsidRPr="00226FA1" w:rsidRDefault="008775ED" w:rsidP="008775ED">
      <w:pPr>
        <w:spacing w:after="0" w:line="276" w:lineRule="auto"/>
        <w:jc w:val="both"/>
        <w:rPr>
          <w:rFonts w:asciiTheme="majorHAnsi" w:eastAsiaTheme="minorHAnsi" w:hAnsiTheme="majorHAnsi" w:cstheme="majorHAnsi"/>
          <w:sz w:val="20"/>
          <w:szCs w:val="20"/>
        </w:rPr>
      </w:pPr>
    </w:p>
    <w:p w14:paraId="44109506" w14:textId="607C57B1" w:rsidR="008775ED" w:rsidRPr="00226FA1" w:rsidRDefault="008775ED" w:rsidP="008775ED">
      <w:pPr>
        <w:spacing w:after="0" w:line="276" w:lineRule="auto"/>
        <w:jc w:val="both"/>
        <w:rPr>
          <w:rFonts w:asciiTheme="majorHAnsi" w:eastAsiaTheme="minorHAnsi" w:hAnsiTheme="majorHAnsi" w:cstheme="majorHAnsi"/>
          <w:sz w:val="20"/>
          <w:szCs w:val="20"/>
        </w:rPr>
      </w:pPr>
      <w:r w:rsidRPr="00226FA1">
        <w:rPr>
          <w:rFonts w:asciiTheme="majorHAnsi" w:eastAsiaTheme="minorHAnsi" w:hAnsiTheme="majorHAnsi" w:cstheme="majorHAnsi"/>
          <w:sz w:val="20"/>
          <w:szCs w:val="20"/>
        </w:rPr>
        <w:t xml:space="preserve">The National Accounts revision policy covers all published quarterly and annual </w:t>
      </w:r>
      <w:r w:rsidR="0018731C">
        <w:rPr>
          <w:rFonts w:asciiTheme="majorHAnsi" w:eastAsiaTheme="minorHAnsi" w:hAnsiTheme="majorHAnsi" w:cstheme="majorHAnsi"/>
          <w:sz w:val="20"/>
          <w:szCs w:val="20"/>
        </w:rPr>
        <w:t xml:space="preserve">data </w:t>
      </w:r>
      <w:r w:rsidRPr="00226FA1">
        <w:rPr>
          <w:rFonts w:asciiTheme="majorHAnsi" w:eastAsiaTheme="minorHAnsi" w:hAnsiTheme="majorHAnsi" w:cstheme="majorHAnsi"/>
          <w:sz w:val="20"/>
          <w:szCs w:val="20"/>
        </w:rPr>
        <w:t>series within the national accounts. This includes all the series that appear in the following statistical domains:</w:t>
      </w:r>
    </w:p>
    <w:p w14:paraId="4B31D6C1" w14:textId="77777777" w:rsidR="008775ED" w:rsidRPr="00226FA1" w:rsidRDefault="008775ED" w:rsidP="008775ED">
      <w:pPr>
        <w:spacing w:after="0" w:line="276" w:lineRule="auto"/>
        <w:ind w:left="720"/>
        <w:contextualSpacing/>
        <w:jc w:val="both"/>
        <w:rPr>
          <w:rFonts w:asciiTheme="majorHAnsi" w:eastAsiaTheme="minorHAnsi" w:hAnsiTheme="majorHAnsi" w:cstheme="majorHAnsi"/>
          <w:sz w:val="20"/>
          <w:szCs w:val="20"/>
        </w:rPr>
      </w:pPr>
    </w:p>
    <w:p w14:paraId="52088035" w14:textId="77777777" w:rsidR="008775ED" w:rsidRPr="00226FA1" w:rsidRDefault="008775ED" w:rsidP="008775ED">
      <w:pPr>
        <w:numPr>
          <w:ilvl w:val="0"/>
          <w:numId w:val="11"/>
        </w:numPr>
        <w:spacing w:after="0" w:line="276" w:lineRule="auto"/>
        <w:contextualSpacing/>
        <w:jc w:val="both"/>
        <w:rPr>
          <w:rFonts w:asciiTheme="majorHAnsi" w:eastAsiaTheme="minorHAnsi" w:hAnsiTheme="majorHAnsi" w:cstheme="majorHAnsi"/>
          <w:sz w:val="20"/>
          <w:szCs w:val="20"/>
        </w:rPr>
      </w:pPr>
      <w:r w:rsidRPr="00226FA1">
        <w:rPr>
          <w:rFonts w:asciiTheme="majorHAnsi" w:eastAsiaTheme="minorHAnsi" w:hAnsiTheme="majorHAnsi" w:cstheme="majorHAnsi"/>
          <w:sz w:val="20"/>
          <w:szCs w:val="20"/>
        </w:rPr>
        <w:t>national accounts main aggregates, annual and quarterly data;</w:t>
      </w:r>
    </w:p>
    <w:p w14:paraId="2B2B3FC8" w14:textId="77777777" w:rsidR="008775ED" w:rsidRPr="00226FA1" w:rsidRDefault="008775ED" w:rsidP="008775ED">
      <w:pPr>
        <w:numPr>
          <w:ilvl w:val="0"/>
          <w:numId w:val="11"/>
        </w:numPr>
        <w:spacing w:after="0" w:line="276" w:lineRule="auto"/>
        <w:contextualSpacing/>
        <w:jc w:val="both"/>
        <w:rPr>
          <w:rFonts w:asciiTheme="majorHAnsi" w:eastAsiaTheme="minorHAnsi" w:hAnsiTheme="majorHAnsi" w:cstheme="majorHAnsi"/>
          <w:sz w:val="20"/>
          <w:szCs w:val="20"/>
        </w:rPr>
      </w:pPr>
      <w:r w:rsidRPr="00226FA1">
        <w:rPr>
          <w:rFonts w:asciiTheme="majorHAnsi" w:eastAsiaTheme="minorHAnsi" w:hAnsiTheme="majorHAnsi" w:cstheme="majorHAnsi"/>
          <w:sz w:val="20"/>
          <w:szCs w:val="20"/>
        </w:rPr>
        <w:t>non-financial sector accounts (NFSA), annual data;</w:t>
      </w:r>
    </w:p>
    <w:p w14:paraId="353A9CEB" w14:textId="77777777" w:rsidR="008775ED" w:rsidRPr="00226FA1" w:rsidRDefault="008775ED" w:rsidP="008775ED">
      <w:pPr>
        <w:numPr>
          <w:ilvl w:val="0"/>
          <w:numId w:val="11"/>
        </w:numPr>
        <w:spacing w:after="0" w:line="276" w:lineRule="auto"/>
        <w:contextualSpacing/>
        <w:jc w:val="both"/>
        <w:rPr>
          <w:rFonts w:asciiTheme="majorHAnsi" w:eastAsiaTheme="minorHAnsi" w:hAnsiTheme="majorHAnsi" w:cstheme="majorHAnsi"/>
          <w:sz w:val="20"/>
          <w:szCs w:val="20"/>
        </w:rPr>
      </w:pPr>
      <w:r w:rsidRPr="00226FA1">
        <w:rPr>
          <w:rFonts w:asciiTheme="majorHAnsi" w:eastAsiaTheme="minorHAnsi" w:hAnsiTheme="majorHAnsi" w:cstheme="majorHAnsi"/>
          <w:sz w:val="20"/>
          <w:szCs w:val="20"/>
        </w:rPr>
        <w:t>government finance statistics;</w:t>
      </w:r>
    </w:p>
    <w:p w14:paraId="24A2C53B" w14:textId="55E00E13" w:rsidR="008775ED" w:rsidRPr="00226FA1" w:rsidRDefault="008775ED" w:rsidP="008775ED">
      <w:pPr>
        <w:numPr>
          <w:ilvl w:val="0"/>
          <w:numId w:val="11"/>
        </w:numPr>
        <w:spacing w:after="0" w:line="276" w:lineRule="auto"/>
        <w:contextualSpacing/>
        <w:jc w:val="both"/>
        <w:rPr>
          <w:rFonts w:asciiTheme="majorHAnsi" w:eastAsiaTheme="minorHAnsi" w:hAnsiTheme="majorHAnsi" w:cstheme="majorHAnsi"/>
          <w:sz w:val="20"/>
          <w:szCs w:val="20"/>
        </w:rPr>
      </w:pPr>
      <w:r w:rsidRPr="00226FA1">
        <w:rPr>
          <w:rFonts w:asciiTheme="majorHAnsi" w:eastAsiaTheme="minorHAnsi" w:hAnsiTheme="majorHAnsi" w:cstheme="majorHAnsi"/>
          <w:sz w:val="20"/>
          <w:szCs w:val="20"/>
        </w:rPr>
        <w:t>supply and use tables and input-output tables (SU</w:t>
      </w:r>
      <w:r w:rsidR="008D1833">
        <w:rPr>
          <w:rFonts w:asciiTheme="majorHAnsi" w:eastAsiaTheme="minorHAnsi" w:hAnsiTheme="majorHAnsi" w:cstheme="majorHAnsi"/>
          <w:sz w:val="20"/>
          <w:szCs w:val="20"/>
        </w:rPr>
        <w:t>T-</w:t>
      </w:r>
      <w:r w:rsidRPr="00226FA1">
        <w:rPr>
          <w:rFonts w:asciiTheme="majorHAnsi" w:eastAsiaTheme="minorHAnsi" w:hAnsiTheme="majorHAnsi" w:cstheme="majorHAnsi"/>
          <w:sz w:val="20"/>
          <w:szCs w:val="20"/>
        </w:rPr>
        <w:t>IOT);</w:t>
      </w:r>
    </w:p>
    <w:p w14:paraId="13752474" w14:textId="77777777" w:rsidR="008775ED" w:rsidRPr="00226FA1" w:rsidRDefault="008775ED" w:rsidP="008775ED">
      <w:pPr>
        <w:numPr>
          <w:ilvl w:val="0"/>
          <w:numId w:val="11"/>
        </w:numPr>
        <w:spacing w:after="0" w:line="276" w:lineRule="auto"/>
        <w:contextualSpacing/>
        <w:jc w:val="both"/>
        <w:rPr>
          <w:rFonts w:asciiTheme="majorHAnsi" w:eastAsiaTheme="minorHAnsi" w:hAnsiTheme="majorHAnsi" w:cstheme="majorHAnsi"/>
          <w:sz w:val="20"/>
          <w:szCs w:val="20"/>
        </w:rPr>
      </w:pPr>
      <w:proofErr w:type="gramStart"/>
      <w:r w:rsidRPr="00226FA1">
        <w:rPr>
          <w:rFonts w:asciiTheme="majorHAnsi" w:eastAsiaTheme="minorHAnsi" w:hAnsiTheme="majorHAnsi" w:cstheme="majorHAnsi"/>
          <w:sz w:val="20"/>
          <w:szCs w:val="20"/>
        </w:rPr>
        <w:t>regional</w:t>
      </w:r>
      <w:proofErr w:type="gramEnd"/>
      <w:r w:rsidRPr="00226FA1">
        <w:rPr>
          <w:rFonts w:asciiTheme="majorHAnsi" w:eastAsiaTheme="minorHAnsi" w:hAnsiTheme="majorHAnsi" w:cstheme="majorHAnsi"/>
          <w:sz w:val="20"/>
          <w:szCs w:val="20"/>
        </w:rPr>
        <w:t xml:space="preserve"> accounts.</w:t>
      </w:r>
    </w:p>
    <w:p w14:paraId="10043C94" w14:textId="77777777" w:rsidR="008775ED" w:rsidRPr="00226FA1" w:rsidRDefault="008775ED" w:rsidP="008775ED">
      <w:pPr>
        <w:spacing w:after="0" w:line="276" w:lineRule="auto"/>
        <w:jc w:val="both"/>
        <w:rPr>
          <w:rFonts w:asciiTheme="majorHAnsi" w:eastAsiaTheme="minorHAnsi" w:hAnsiTheme="majorHAnsi" w:cstheme="majorHAnsi"/>
          <w:sz w:val="20"/>
          <w:szCs w:val="20"/>
        </w:rPr>
      </w:pPr>
    </w:p>
    <w:p w14:paraId="1393F1D0" w14:textId="3F89AEBC" w:rsidR="00FD2D01" w:rsidRDefault="008775ED" w:rsidP="008775ED">
      <w:pPr>
        <w:spacing w:after="0" w:line="276" w:lineRule="auto"/>
        <w:jc w:val="both"/>
        <w:rPr>
          <w:rFonts w:asciiTheme="majorHAnsi" w:eastAsiaTheme="minorHAnsi" w:hAnsiTheme="majorHAnsi" w:cstheme="majorHAnsi"/>
          <w:sz w:val="20"/>
          <w:szCs w:val="20"/>
        </w:rPr>
      </w:pPr>
      <w:r w:rsidRPr="00226FA1">
        <w:rPr>
          <w:rFonts w:asciiTheme="majorHAnsi" w:eastAsiaTheme="minorHAnsi" w:hAnsiTheme="majorHAnsi" w:cstheme="majorHAnsi"/>
          <w:sz w:val="20"/>
          <w:szCs w:val="20"/>
        </w:rPr>
        <w:t>Revision is any change in value of released statistical data and should be accepted as regular practice leading to better data quality</w:t>
      </w:r>
      <w:r w:rsidR="00B20F51" w:rsidRPr="00226FA1">
        <w:rPr>
          <w:rFonts w:asciiTheme="majorHAnsi" w:eastAsiaTheme="minorHAnsi" w:hAnsiTheme="majorHAnsi" w:cstheme="majorHAnsi"/>
          <w:sz w:val="20"/>
          <w:szCs w:val="20"/>
        </w:rPr>
        <w:t>, namely</w:t>
      </w:r>
      <w:r w:rsidR="00915106">
        <w:rPr>
          <w:rFonts w:asciiTheme="majorHAnsi" w:eastAsiaTheme="minorHAnsi" w:hAnsiTheme="majorHAnsi" w:cstheme="majorHAnsi"/>
          <w:sz w:val="20"/>
          <w:szCs w:val="20"/>
        </w:rPr>
        <w:t>, their</w:t>
      </w:r>
      <w:r w:rsidR="00B20F51" w:rsidRPr="00226FA1">
        <w:rPr>
          <w:rFonts w:asciiTheme="majorHAnsi" w:eastAsiaTheme="minorHAnsi" w:hAnsiTheme="majorHAnsi" w:cstheme="majorHAnsi"/>
          <w:sz w:val="20"/>
          <w:szCs w:val="20"/>
        </w:rPr>
        <w:t xml:space="preserve"> accuracy</w:t>
      </w:r>
      <w:r w:rsidRPr="00226FA1">
        <w:rPr>
          <w:rFonts w:asciiTheme="majorHAnsi" w:eastAsiaTheme="minorHAnsi" w:hAnsiTheme="majorHAnsi" w:cstheme="majorHAnsi"/>
          <w:sz w:val="20"/>
          <w:szCs w:val="20"/>
        </w:rPr>
        <w:t xml:space="preserve"> and reliability. </w:t>
      </w:r>
    </w:p>
    <w:p w14:paraId="53897468" w14:textId="77777777" w:rsidR="00FD2D01" w:rsidRDefault="00FD2D01" w:rsidP="008775ED">
      <w:pPr>
        <w:spacing w:after="0" w:line="276" w:lineRule="auto"/>
        <w:jc w:val="both"/>
        <w:rPr>
          <w:rFonts w:asciiTheme="majorHAnsi" w:eastAsiaTheme="minorHAnsi" w:hAnsiTheme="majorHAnsi" w:cstheme="majorHAnsi"/>
          <w:sz w:val="20"/>
          <w:szCs w:val="20"/>
        </w:rPr>
      </w:pPr>
    </w:p>
    <w:p w14:paraId="0D94A35B" w14:textId="7503EA1D" w:rsidR="008775ED" w:rsidRPr="00226FA1" w:rsidRDefault="008775ED" w:rsidP="008775ED">
      <w:pPr>
        <w:spacing w:after="0" w:line="276" w:lineRule="auto"/>
        <w:jc w:val="both"/>
        <w:rPr>
          <w:rFonts w:asciiTheme="majorHAnsi" w:eastAsiaTheme="minorHAnsi" w:hAnsiTheme="majorHAnsi" w:cstheme="majorHAnsi"/>
          <w:sz w:val="20"/>
          <w:szCs w:val="20"/>
        </w:rPr>
      </w:pPr>
      <w:r w:rsidRPr="00226FA1">
        <w:rPr>
          <w:rFonts w:asciiTheme="majorHAnsi" w:eastAsiaTheme="minorHAnsi" w:hAnsiTheme="majorHAnsi" w:cstheme="majorHAnsi"/>
          <w:sz w:val="20"/>
          <w:szCs w:val="20"/>
        </w:rPr>
        <w:t xml:space="preserve">When </w:t>
      </w:r>
      <w:r w:rsidR="00B13CC8" w:rsidRPr="00226FA1">
        <w:rPr>
          <w:rFonts w:asciiTheme="majorHAnsi" w:eastAsiaTheme="minorHAnsi" w:hAnsiTheme="majorHAnsi" w:cstheme="majorHAnsi"/>
          <w:sz w:val="20"/>
          <w:szCs w:val="20"/>
        </w:rPr>
        <w:t>considering</w:t>
      </w:r>
      <w:r w:rsidRPr="00226FA1">
        <w:rPr>
          <w:rFonts w:asciiTheme="majorHAnsi" w:eastAsiaTheme="minorHAnsi" w:hAnsiTheme="majorHAnsi" w:cstheme="majorHAnsi"/>
          <w:sz w:val="20"/>
          <w:szCs w:val="20"/>
        </w:rPr>
        <w:t xml:space="preserve"> the causes and frequency of revisions, they can be distinguished as:</w:t>
      </w:r>
    </w:p>
    <w:p w14:paraId="1A4B8645" w14:textId="77777777" w:rsidR="008775ED" w:rsidRPr="00226FA1" w:rsidRDefault="008775ED" w:rsidP="008775ED">
      <w:pPr>
        <w:numPr>
          <w:ilvl w:val="0"/>
          <w:numId w:val="12"/>
        </w:numPr>
        <w:spacing w:after="0" w:line="276" w:lineRule="auto"/>
        <w:contextualSpacing/>
        <w:jc w:val="both"/>
        <w:rPr>
          <w:rFonts w:asciiTheme="majorHAnsi" w:eastAsiaTheme="minorHAnsi" w:hAnsiTheme="majorHAnsi" w:cstheme="majorHAnsi"/>
          <w:sz w:val="20"/>
          <w:szCs w:val="20"/>
        </w:rPr>
      </w:pPr>
      <w:r w:rsidRPr="00226FA1">
        <w:rPr>
          <w:rFonts w:asciiTheme="majorHAnsi" w:eastAsiaTheme="minorHAnsi" w:hAnsiTheme="majorHAnsi" w:cstheme="majorHAnsi"/>
          <w:sz w:val="20"/>
          <w:szCs w:val="20"/>
        </w:rPr>
        <w:t>current revisions (or routine revisions);</w:t>
      </w:r>
    </w:p>
    <w:p w14:paraId="5E6ABEFC" w14:textId="77777777" w:rsidR="008775ED" w:rsidRPr="00226FA1" w:rsidRDefault="008775ED" w:rsidP="008775ED">
      <w:pPr>
        <w:numPr>
          <w:ilvl w:val="0"/>
          <w:numId w:val="12"/>
        </w:numPr>
        <w:spacing w:after="0" w:line="276" w:lineRule="auto"/>
        <w:contextualSpacing/>
        <w:jc w:val="both"/>
        <w:rPr>
          <w:rFonts w:asciiTheme="majorHAnsi" w:eastAsiaTheme="minorHAnsi" w:hAnsiTheme="majorHAnsi" w:cstheme="majorHAnsi"/>
          <w:sz w:val="20"/>
          <w:szCs w:val="20"/>
        </w:rPr>
      </w:pPr>
      <w:r w:rsidRPr="00226FA1">
        <w:rPr>
          <w:rFonts w:asciiTheme="majorHAnsi" w:eastAsiaTheme="minorHAnsi" w:hAnsiTheme="majorHAnsi" w:cstheme="majorHAnsi"/>
          <w:sz w:val="20"/>
          <w:szCs w:val="20"/>
        </w:rPr>
        <w:t>major regular revisions (or benchmark revisions);</w:t>
      </w:r>
    </w:p>
    <w:p w14:paraId="402DB30C" w14:textId="77777777" w:rsidR="008775ED" w:rsidRPr="00226FA1" w:rsidRDefault="008775ED" w:rsidP="008775ED">
      <w:pPr>
        <w:numPr>
          <w:ilvl w:val="0"/>
          <w:numId w:val="12"/>
        </w:numPr>
        <w:spacing w:after="0" w:line="276" w:lineRule="auto"/>
        <w:contextualSpacing/>
        <w:jc w:val="both"/>
        <w:rPr>
          <w:rFonts w:asciiTheme="majorHAnsi" w:eastAsiaTheme="minorHAnsi" w:hAnsiTheme="majorHAnsi" w:cstheme="majorHAnsi"/>
          <w:sz w:val="20"/>
          <w:szCs w:val="20"/>
        </w:rPr>
      </w:pPr>
      <w:proofErr w:type="gramStart"/>
      <w:r w:rsidRPr="00226FA1">
        <w:rPr>
          <w:rFonts w:asciiTheme="majorHAnsi" w:eastAsiaTheme="minorHAnsi" w:hAnsiTheme="majorHAnsi" w:cstheme="majorHAnsi"/>
          <w:sz w:val="20"/>
          <w:szCs w:val="20"/>
        </w:rPr>
        <w:t>non-scheduled</w:t>
      </w:r>
      <w:proofErr w:type="gramEnd"/>
      <w:r w:rsidRPr="00226FA1">
        <w:rPr>
          <w:rFonts w:asciiTheme="majorHAnsi" w:eastAsiaTheme="minorHAnsi" w:hAnsiTheme="majorHAnsi" w:cstheme="majorHAnsi"/>
          <w:sz w:val="20"/>
          <w:szCs w:val="20"/>
        </w:rPr>
        <w:t xml:space="preserve"> revisions.</w:t>
      </w:r>
    </w:p>
    <w:p w14:paraId="47684D32" w14:textId="7854EF74" w:rsidR="008775ED" w:rsidRPr="00226FA1" w:rsidRDefault="008775ED" w:rsidP="008775ED">
      <w:pPr>
        <w:spacing w:after="0" w:line="276" w:lineRule="auto"/>
        <w:jc w:val="both"/>
        <w:rPr>
          <w:rFonts w:asciiTheme="majorHAnsi" w:eastAsiaTheme="minorHAnsi" w:hAnsiTheme="majorHAnsi" w:cstheme="majorHAnsi"/>
          <w:sz w:val="20"/>
          <w:szCs w:val="20"/>
        </w:rPr>
      </w:pPr>
    </w:p>
    <w:p w14:paraId="6D733E55" w14:textId="77777777" w:rsidR="004476DB" w:rsidRPr="00226FA1" w:rsidRDefault="004476DB" w:rsidP="008775ED">
      <w:pPr>
        <w:spacing w:after="0" w:line="276" w:lineRule="auto"/>
        <w:jc w:val="both"/>
        <w:rPr>
          <w:rFonts w:asciiTheme="majorHAnsi" w:eastAsiaTheme="minorHAnsi" w:hAnsiTheme="majorHAnsi" w:cstheme="majorHAnsi"/>
          <w:sz w:val="20"/>
          <w:szCs w:val="20"/>
        </w:rPr>
      </w:pPr>
    </w:p>
    <w:p w14:paraId="07664E76" w14:textId="7F68C220" w:rsidR="008775ED" w:rsidRDefault="008775ED" w:rsidP="008775ED">
      <w:pPr>
        <w:spacing w:after="0" w:line="276" w:lineRule="auto"/>
        <w:jc w:val="both"/>
        <w:rPr>
          <w:rFonts w:asciiTheme="majorHAnsi" w:eastAsiaTheme="minorHAnsi" w:hAnsiTheme="majorHAnsi" w:cstheme="majorHAnsi"/>
          <w:sz w:val="20"/>
          <w:szCs w:val="20"/>
        </w:rPr>
      </w:pPr>
    </w:p>
    <w:p w14:paraId="70EC53C3" w14:textId="089245B9" w:rsidR="00FD2D01" w:rsidRDefault="00FD2D01" w:rsidP="008775ED">
      <w:pPr>
        <w:spacing w:after="0" w:line="276" w:lineRule="auto"/>
        <w:jc w:val="both"/>
        <w:rPr>
          <w:rFonts w:asciiTheme="majorHAnsi" w:eastAsiaTheme="minorHAnsi" w:hAnsiTheme="majorHAnsi" w:cstheme="majorHAnsi"/>
          <w:sz w:val="20"/>
          <w:szCs w:val="20"/>
        </w:rPr>
      </w:pPr>
    </w:p>
    <w:p w14:paraId="6E898FAA" w14:textId="7DB6C044" w:rsidR="00FD2D01" w:rsidRDefault="00FD2D01" w:rsidP="008775ED">
      <w:pPr>
        <w:spacing w:after="0" w:line="276" w:lineRule="auto"/>
        <w:jc w:val="both"/>
        <w:rPr>
          <w:rFonts w:asciiTheme="majorHAnsi" w:eastAsiaTheme="minorHAnsi" w:hAnsiTheme="majorHAnsi" w:cstheme="majorHAnsi"/>
          <w:sz w:val="20"/>
          <w:szCs w:val="20"/>
        </w:rPr>
      </w:pPr>
    </w:p>
    <w:p w14:paraId="7ADCA96E" w14:textId="4167901E" w:rsidR="008775ED" w:rsidRPr="00226FA1" w:rsidRDefault="008775ED" w:rsidP="008775ED">
      <w:pPr>
        <w:pStyle w:val="Heading1"/>
        <w:rPr>
          <w:rFonts w:eastAsiaTheme="minorHAnsi"/>
        </w:rPr>
      </w:pPr>
      <w:bookmarkStart w:id="1" w:name="_Toc130908745"/>
      <w:r w:rsidRPr="00226FA1">
        <w:rPr>
          <w:rFonts w:eastAsiaTheme="minorHAnsi"/>
        </w:rPr>
        <w:lastRenderedPageBreak/>
        <w:t>Release calendar</w:t>
      </w:r>
      <w:bookmarkEnd w:id="1"/>
    </w:p>
    <w:p w14:paraId="7E5CD35F" w14:textId="740076D6" w:rsidR="008775ED" w:rsidRPr="00226FA1" w:rsidRDefault="00B13CC8" w:rsidP="008775ED">
      <w:pPr>
        <w:spacing w:after="0" w:line="276" w:lineRule="auto"/>
        <w:jc w:val="both"/>
        <w:rPr>
          <w:rFonts w:asciiTheme="majorHAnsi" w:eastAsiaTheme="minorHAnsi" w:hAnsiTheme="majorHAnsi" w:cstheme="majorHAnsi"/>
          <w:sz w:val="20"/>
          <w:szCs w:val="20"/>
        </w:rPr>
      </w:pPr>
      <w:r>
        <w:rPr>
          <w:rFonts w:asciiTheme="majorHAnsi" w:eastAsiaTheme="minorHAnsi" w:hAnsiTheme="majorHAnsi" w:cstheme="majorHAnsi"/>
          <w:sz w:val="20"/>
          <w:szCs w:val="20"/>
        </w:rPr>
        <w:t>The</w:t>
      </w:r>
      <w:r w:rsidRPr="00226FA1">
        <w:rPr>
          <w:rFonts w:asciiTheme="majorHAnsi" w:eastAsiaTheme="minorHAnsi" w:hAnsiTheme="majorHAnsi" w:cstheme="majorHAnsi"/>
          <w:sz w:val="20"/>
          <w:szCs w:val="20"/>
        </w:rPr>
        <w:t xml:space="preserve"> </w:t>
      </w:r>
      <w:r w:rsidR="008775ED" w:rsidRPr="00226FA1">
        <w:rPr>
          <w:rFonts w:asciiTheme="majorHAnsi" w:eastAsiaTheme="minorHAnsi" w:hAnsiTheme="majorHAnsi" w:cstheme="majorHAnsi"/>
          <w:sz w:val="20"/>
          <w:szCs w:val="20"/>
        </w:rPr>
        <w:t xml:space="preserve">official </w:t>
      </w:r>
      <w:hyperlink r:id="rId8" w:history="1">
        <w:r w:rsidR="008775ED" w:rsidRPr="00226FA1">
          <w:rPr>
            <w:rStyle w:val="Hyperlink"/>
            <w:rFonts w:asciiTheme="majorHAnsi" w:eastAsiaTheme="minorHAnsi" w:hAnsiTheme="majorHAnsi" w:cstheme="majorHAnsi"/>
            <w:sz w:val="20"/>
            <w:szCs w:val="20"/>
          </w:rPr>
          <w:t>release calendar</w:t>
        </w:r>
      </w:hyperlink>
      <w:r w:rsidR="008775ED" w:rsidRPr="00226FA1">
        <w:rPr>
          <w:rFonts w:asciiTheme="majorHAnsi" w:eastAsiaTheme="minorHAnsi" w:hAnsiTheme="majorHAnsi" w:cstheme="majorHAnsi"/>
          <w:sz w:val="20"/>
          <w:szCs w:val="20"/>
        </w:rPr>
        <w:t xml:space="preserve"> is available on the SORS website approximately one month before the beginning of the year.</w:t>
      </w:r>
    </w:p>
    <w:p w14:paraId="3835FDE0" w14:textId="77777777" w:rsidR="00B20F51" w:rsidRPr="00226FA1" w:rsidRDefault="00B20F51" w:rsidP="008775ED">
      <w:pPr>
        <w:spacing w:after="0" w:line="276" w:lineRule="auto"/>
        <w:jc w:val="both"/>
        <w:rPr>
          <w:rFonts w:asciiTheme="majorHAnsi" w:eastAsiaTheme="minorHAnsi" w:hAnsiTheme="majorHAnsi" w:cstheme="majorHAnsi"/>
          <w:sz w:val="20"/>
          <w:szCs w:val="20"/>
        </w:rPr>
      </w:pPr>
    </w:p>
    <w:p w14:paraId="4A25F1CD" w14:textId="77777777" w:rsidR="008775ED" w:rsidRPr="00226FA1" w:rsidRDefault="008775ED" w:rsidP="008775ED">
      <w:pPr>
        <w:spacing w:after="0" w:line="276" w:lineRule="auto"/>
        <w:jc w:val="both"/>
        <w:rPr>
          <w:rFonts w:asciiTheme="majorHAnsi" w:eastAsiaTheme="min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21"/>
        <w:gridCol w:w="4699"/>
        <w:gridCol w:w="2194"/>
      </w:tblGrid>
      <w:tr w:rsidR="008775ED" w:rsidRPr="00226FA1" w14:paraId="7AF415DF" w14:textId="77777777" w:rsidTr="00BF0746">
        <w:trPr>
          <w:trHeight w:hRule="exact" w:val="432"/>
        </w:trPr>
        <w:tc>
          <w:tcPr>
            <w:tcW w:w="9214" w:type="dxa"/>
            <w:gridSpan w:val="3"/>
            <w:tcBorders>
              <w:bottom w:val="single" w:sz="8" w:space="0" w:color="auto"/>
            </w:tcBorders>
            <w:shd w:val="clear" w:color="auto" w:fill="E2EFD9" w:themeFill="accent6" w:themeFillTint="33"/>
            <w:vAlign w:val="center"/>
          </w:tcPr>
          <w:p w14:paraId="2CBA1CEA" w14:textId="22658165" w:rsidR="008775ED" w:rsidRPr="00226FA1" w:rsidRDefault="008775ED" w:rsidP="00BA40CE">
            <w:pPr>
              <w:spacing w:line="276" w:lineRule="auto"/>
              <w:jc w:val="both"/>
              <w:rPr>
                <w:rFonts w:asciiTheme="majorHAnsi" w:hAnsiTheme="majorHAnsi" w:cstheme="majorHAnsi"/>
                <w:b/>
                <w:sz w:val="20"/>
                <w:szCs w:val="20"/>
              </w:rPr>
            </w:pPr>
            <w:r w:rsidRPr="00226FA1">
              <w:rPr>
                <w:rFonts w:asciiTheme="majorHAnsi" w:hAnsiTheme="majorHAnsi" w:cstheme="majorHAnsi"/>
                <w:b/>
                <w:sz w:val="20"/>
                <w:szCs w:val="20"/>
              </w:rPr>
              <w:t xml:space="preserve">Release calendar for National accounts </w:t>
            </w:r>
          </w:p>
        </w:tc>
      </w:tr>
      <w:tr w:rsidR="008775ED" w:rsidRPr="00226FA1" w14:paraId="6E87CA6A" w14:textId="77777777" w:rsidTr="00BF0746">
        <w:trPr>
          <w:trHeight w:hRule="exact" w:val="432"/>
        </w:trPr>
        <w:tc>
          <w:tcPr>
            <w:tcW w:w="2321" w:type="dxa"/>
            <w:tcBorders>
              <w:top w:val="single" w:sz="8" w:space="0" w:color="auto"/>
              <w:bottom w:val="single" w:sz="8" w:space="0" w:color="A8D08D" w:themeColor="accent6" w:themeTint="99"/>
            </w:tcBorders>
            <w:shd w:val="clear" w:color="auto" w:fill="E2EFD9" w:themeFill="accent6" w:themeFillTint="33"/>
            <w:vAlign w:val="center"/>
          </w:tcPr>
          <w:p w14:paraId="00F7F630" w14:textId="77777777" w:rsidR="008775ED" w:rsidRPr="00226FA1" w:rsidRDefault="008775ED" w:rsidP="008775ED">
            <w:pPr>
              <w:spacing w:line="276" w:lineRule="auto"/>
              <w:jc w:val="both"/>
              <w:rPr>
                <w:rFonts w:asciiTheme="majorHAnsi" w:hAnsiTheme="majorHAnsi" w:cstheme="majorHAnsi"/>
                <w:b/>
                <w:sz w:val="20"/>
                <w:szCs w:val="20"/>
              </w:rPr>
            </w:pPr>
            <w:r w:rsidRPr="00226FA1">
              <w:rPr>
                <w:rFonts w:asciiTheme="majorHAnsi" w:hAnsiTheme="majorHAnsi" w:cstheme="majorHAnsi"/>
                <w:b/>
                <w:sz w:val="20"/>
                <w:szCs w:val="20"/>
              </w:rPr>
              <w:t>Domains</w:t>
            </w:r>
          </w:p>
        </w:tc>
        <w:tc>
          <w:tcPr>
            <w:tcW w:w="4699" w:type="dxa"/>
            <w:tcBorders>
              <w:top w:val="single" w:sz="8" w:space="0" w:color="auto"/>
              <w:bottom w:val="single" w:sz="8" w:space="0" w:color="A8D08D" w:themeColor="accent6" w:themeTint="99"/>
            </w:tcBorders>
            <w:shd w:val="clear" w:color="auto" w:fill="E2EFD9" w:themeFill="accent6" w:themeFillTint="33"/>
            <w:vAlign w:val="center"/>
          </w:tcPr>
          <w:p w14:paraId="43AC51C0" w14:textId="77777777" w:rsidR="008775ED" w:rsidRPr="00226FA1" w:rsidRDefault="008775ED" w:rsidP="008775ED">
            <w:pPr>
              <w:spacing w:line="276" w:lineRule="auto"/>
              <w:jc w:val="both"/>
              <w:rPr>
                <w:rFonts w:asciiTheme="majorHAnsi" w:hAnsiTheme="majorHAnsi" w:cstheme="majorHAnsi"/>
                <w:b/>
                <w:sz w:val="20"/>
                <w:szCs w:val="20"/>
              </w:rPr>
            </w:pPr>
            <w:r w:rsidRPr="00226FA1">
              <w:rPr>
                <w:rFonts w:asciiTheme="majorHAnsi" w:hAnsiTheme="majorHAnsi" w:cstheme="majorHAnsi"/>
                <w:b/>
                <w:sz w:val="20"/>
                <w:szCs w:val="20"/>
              </w:rPr>
              <w:t>Title</w:t>
            </w:r>
          </w:p>
        </w:tc>
        <w:tc>
          <w:tcPr>
            <w:tcW w:w="2194" w:type="dxa"/>
            <w:tcBorders>
              <w:top w:val="single" w:sz="8" w:space="0" w:color="auto"/>
              <w:bottom w:val="single" w:sz="8" w:space="0" w:color="A8D08D" w:themeColor="accent6" w:themeTint="99"/>
            </w:tcBorders>
            <w:shd w:val="clear" w:color="auto" w:fill="E2EFD9" w:themeFill="accent6" w:themeFillTint="33"/>
            <w:vAlign w:val="center"/>
          </w:tcPr>
          <w:p w14:paraId="44C90313" w14:textId="77777777" w:rsidR="008775ED" w:rsidRPr="00226FA1" w:rsidRDefault="008775ED" w:rsidP="008775ED">
            <w:pPr>
              <w:spacing w:line="276" w:lineRule="auto"/>
              <w:jc w:val="both"/>
              <w:rPr>
                <w:rFonts w:asciiTheme="majorHAnsi" w:hAnsiTheme="majorHAnsi" w:cstheme="majorHAnsi"/>
                <w:b/>
                <w:sz w:val="20"/>
                <w:szCs w:val="20"/>
              </w:rPr>
            </w:pPr>
            <w:r w:rsidRPr="00226FA1">
              <w:rPr>
                <w:rFonts w:asciiTheme="majorHAnsi" w:hAnsiTheme="majorHAnsi" w:cstheme="majorHAnsi"/>
                <w:b/>
                <w:sz w:val="20"/>
                <w:szCs w:val="20"/>
              </w:rPr>
              <w:t>No of publication</w:t>
            </w:r>
          </w:p>
        </w:tc>
      </w:tr>
      <w:tr w:rsidR="008775ED" w:rsidRPr="00226FA1" w14:paraId="1009712E" w14:textId="77777777" w:rsidTr="00BF0746">
        <w:tc>
          <w:tcPr>
            <w:tcW w:w="2321" w:type="dxa"/>
            <w:vMerge w:val="restart"/>
            <w:tcBorders>
              <w:top w:val="single" w:sz="8" w:space="0" w:color="A8D08D" w:themeColor="accent6" w:themeTint="99"/>
              <w:bottom w:val="single" w:sz="8" w:space="0" w:color="A8D08D" w:themeColor="accent6" w:themeTint="99"/>
            </w:tcBorders>
            <w:vAlign w:val="center"/>
          </w:tcPr>
          <w:p w14:paraId="6A6D2E87" w14:textId="77777777" w:rsidR="008775ED" w:rsidRPr="00226FA1" w:rsidRDefault="008775ED" w:rsidP="008775ED">
            <w:pPr>
              <w:rPr>
                <w:rFonts w:asciiTheme="majorHAnsi" w:hAnsiTheme="majorHAnsi" w:cstheme="majorHAnsi"/>
                <w:b/>
                <w:sz w:val="20"/>
                <w:szCs w:val="20"/>
              </w:rPr>
            </w:pPr>
            <w:r w:rsidRPr="00226FA1">
              <w:rPr>
                <w:rFonts w:asciiTheme="majorHAnsi" w:hAnsiTheme="majorHAnsi" w:cstheme="majorHAnsi"/>
                <w:b/>
                <w:sz w:val="20"/>
                <w:szCs w:val="20"/>
              </w:rPr>
              <w:t>National accounts main aggregates, quarterly data</w:t>
            </w:r>
          </w:p>
        </w:tc>
        <w:tc>
          <w:tcPr>
            <w:tcW w:w="4699" w:type="dxa"/>
            <w:tcBorders>
              <w:top w:val="single" w:sz="8" w:space="0" w:color="A8D08D" w:themeColor="accent6" w:themeTint="99"/>
              <w:bottom w:val="single" w:sz="8" w:space="0" w:color="A8D08D" w:themeColor="accent6" w:themeTint="99"/>
            </w:tcBorders>
            <w:vAlign w:val="center"/>
          </w:tcPr>
          <w:p w14:paraId="799EF224" w14:textId="77777777" w:rsidR="008775ED" w:rsidRPr="00226FA1" w:rsidRDefault="008775ED" w:rsidP="008775ED">
            <w:pPr>
              <w:spacing w:line="276" w:lineRule="auto"/>
              <w:jc w:val="both"/>
              <w:rPr>
                <w:rFonts w:asciiTheme="majorHAnsi" w:hAnsiTheme="majorHAnsi" w:cstheme="majorHAnsi"/>
                <w:sz w:val="20"/>
                <w:szCs w:val="20"/>
              </w:rPr>
            </w:pPr>
            <w:r w:rsidRPr="00226FA1">
              <w:rPr>
                <w:rFonts w:asciiTheme="majorHAnsi" w:hAnsiTheme="majorHAnsi" w:cstheme="majorHAnsi"/>
                <w:sz w:val="20"/>
                <w:szCs w:val="20"/>
              </w:rPr>
              <w:t>Quarterly Gross domestic product of the Republic of Serbia at constant prices - flash estimate</w:t>
            </w:r>
          </w:p>
        </w:tc>
        <w:tc>
          <w:tcPr>
            <w:tcW w:w="2194" w:type="dxa"/>
            <w:tcBorders>
              <w:top w:val="single" w:sz="8" w:space="0" w:color="A8D08D" w:themeColor="accent6" w:themeTint="99"/>
              <w:bottom w:val="single" w:sz="8" w:space="0" w:color="A8D08D" w:themeColor="accent6" w:themeTint="99"/>
            </w:tcBorders>
            <w:vAlign w:val="center"/>
          </w:tcPr>
          <w:p w14:paraId="61BC4E01" w14:textId="534238D8" w:rsidR="008775ED" w:rsidRPr="00226FA1" w:rsidRDefault="008775ED" w:rsidP="00BA40CE">
            <w:pPr>
              <w:spacing w:line="276" w:lineRule="auto"/>
              <w:jc w:val="both"/>
              <w:rPr>
                <w:rFonts w:asciiTheme="majorHAnsi" w:hAnsiTheme="majorHAnsi" w:cstheme="majorHAnsi"/>
                <w:sz w:val="20"/>
                <w:szCs w:val="20"/>
              </w:rPr>
            </w:pPr>
            <w:r w:rsidRPr="00226FA1">
              <w:rPr>
                <w:rFonts w:asciiTheme="majorHAnsi" w:hAnsiTheme="majorHAnsi" w:cstheme="majorHAnsi"/>
                <w:sz w:val="20"/>
                <w:szCs w:val="20"/>
              </w:rPr>
              <w:t xml:space="preserve">1 per quarter (reference quarter + </w:t>
            </w:r>
            <w:r w:rsidR="00BA40CE" w:rsidRPr="00226FA1">
              <w:rPr>
                <w:rFonts w:asciiTheme="majorHAnsi" w:hAnsiTheme="majorHAnsi" w:cstheme="majorHAnsi"/>
                <w:sz w:val="20"/>
                <w:szCs w:val="20"/>
              </w:rPr>
              <w:t>30</w:t>
            </w:r>
            <w:r w:rsidRPr="00226FA1">
              <w:rPr>
                <w:rFonts w:asciiTheme="majorHAnsi" w:hAnsiTheme="majorHAnsi" w:cstheme="majorHAnsi"/>
                <w:sz w:val="20"/>
                <w:szCs w:val="20"/>
              </w:rPr>
              <w:t xml:space="preserve"> </w:t>
            </w:r>
            <w:r w:rsidR="00BA40CE" w:rsidRPr="00226FA1">
              <w:rPr>
                <w:rFonts w:asciiTheme="majorHAnsi" w:hAnsiTheme="majorHAnsi" w:cstheme="majorHAnsi"/>
                <w:sz w:val="20"/>
                <w:szCs w:val="20"/>
              </w:rPr>
              <w:t>days</w:t>
            </w:r>
            <w:r w:rsidRPr="00226FA1">
              <w:rPr>
                <w:rFonts w:asciiTheme="majorHAnsi" w:hAnsiTheme="majorHAnsi" w:cstheme="majorHAnsi"/>
                <w:sz w:val="20"/>
                <w:szCs w:val="20"/>
              </w:rPr>
              <w:t>)</w:t>
            </w:r>
          </w:p>
        </w:tc>
      </w:tr>
      <w:tr w:rsidR="008775ED" w:rsidRPr="00226FA1" w14:paraId="0C5177FE" w14:textId="77777777" w:rsidTr="00BF0746">
        <w:tc>
          <w:tcPr>
            <w:tcW w:w="2321" w:type="dxa"/>
            <w:vMerge/>
            <w:tcBorders>
              <w:top w:val="single" w:sz="8" w:space="0" w:color="A8D08D" w:themeColor="accent6" w:themeTint="99"/>
              <w:bottom w:val="single" w:sz="8" w:space="0" w:color="A8D08D" w:themeColor="accent6" w:themeTint="99"/>
            </w:tcBorders>
            <w:vAlign w:val="center"/>
          </w:tcPr>
          <w:p w14:paraId="5547AC01" w14:textId="77777777" w:rsidR="008775ED" w:rsidRPr="00226FA1" w:rsidRDefault="008775ED" w:rsidP="008775ED">
            <w:pPr>
              <w:spacing w:line="276" w:lineRule="auto"/>
              <w:jc w:val="both"/>
              <w:rPr>
                <w:rFonts w:asciiTheme="majorHAnsi" w:hAnsiTheme="majorHAnsi" w:cstheme="majorHAnsi"/>
                <w:b/>
                <w:sz w:val="20"/>
                <w:szCs w:val="20"/>
              </w:rPr>
            </w:pPr>
          </w:p>
        </w:tc>
        <w:tc>
          <w:tcPr>
            <w:tcW w:w="4699" w:type="dxa"/>
            <w:tcBorders>
              <w:top w:val="single" w:sz="8" w:space="0" w:color="A8D08D" w:themeColor="accent6" w:themeTint="99"/>
              <w:bottom w:val="single" w:sz="8" w:space="0" w:color="A8D08D" w:themeColor="accent6" w:themeTint="99"/>
            </w:tcBorders>
            <w:vAlign w:val="center"/>
          </w:tcPr>
          <w:p w14:paraId="399E8857" w14:textId="77C3A162" w:rsidR="008775ED" w:rsidRPr="00226FA1" w:rsidRDefault="008775ED" w:rsidP="009F7AA4">
            <w:pPr>
              <w:spacing w:line="276" w:lineRule="auto"/>
              <w:jc w:val="both"/>
              <w:rPr>
                <w:rFonts w:asciiTheme="majorHAnsi" w:hAnsiTheme="majorHAnsi" w:cstheme="majorHAnsi"/>
                <w:sz w:val="20"/>
                <w:szCs w:val="20"/>
              </w:rPr>
            </w:pPr>
            <w:r w:rsidRPr="00226FA1">
              <w:rPr>
                <w:rFonts w:asciiTheme="majorHAnsi" w:hAnsiTheme="majorHAnsi" w:cstheme="majorHAnsi"/>
                <w:sz w:val="20"/>
                <w:szCs w:val="20"/>
              </w:rPr>
              <w:t>Quarterly Gross domestic pr</w:t>
            </w:r>
            <w:r w:rsidR="009F7AA4" w:rsidRPr="00226FA1">
              <w:rPr>
                <w:rFonts w:asciiTheme="majorHAnsi" w:hAnsiTheme="majorHAnsi" w:cstheme="majorHAnsi"/>
                <w:sz w:val="20"/>
                <w:szCs w:val="20"/>
              </w:rPr>
              <w:t>oduct of the Republic of Serbia</w:t>
            </w:r>
          </w:p>
        </w:tc>
        <w:tc>
          <w:tcPr>
            <w:tcW w:w="2194" w:type="dxa"/>
            <w:tcBorders>
              <w:top w:val="single" w:sz="8" w:space="0" w:color="A8D08D" w:themeColor="accent6" w:themeTint="99"/>
              <w:bottom w:val="single" w:sz="8" w:space="0" w:color="A8D08D" w:themeColor="accent6" w:themeTint="99"/>
            </w:tcBorders>
            <w:vAlign w:val="center"/>
          </w:tcPr>
          <w:p w14:paraId="11E1539D" w14:textId="16E53BDA" w:rsidR="008775ED" w:rsidRPr="00226FA1" w:rsidRDefault="008775ED" w:rsidP="00BA40CE">
            <w:pPr>
              <w:spacing w:line="276" w:lineRule="auto"/>
              <w:jc w:val="both"/>
              <w:rPr>
                <w:rFonts w:asciiTheme="majorHAnsi" w:hAnsiTheme="majorHAnsi" w:cstheme="majorHAnsi"/>
                <w:sz w:val="20"/>
                <w:szCs w:val="20"/>
              </w:rPr>
            </w:pPr>
            <w:r w:rsidRPr="00226FA1">
              <w:rPr>
                <w:rFonts w:asciiTheme="majorHAnsi" w:hAnsiTheme="majorHAnsi" w:cstheme="majorHAnsi"/>
                <w:sz w:val="20"/>
                <w:szCs w:val="20"/>
              </w:rPr>
              <w:t xml:space="preserve">1 per quarter (reference quarter + </w:t>
            </w:r>
            <w:r w:rsidR="00BA40CE" w:rsidRPr="00226FA1">
              <w:rPr>
                <w:rFonts w:asciiTheme="majorHAnsi" w:hAnsiTheme="majorHAnsi" w:cstheme="majorHAnsi"/>
                <w:sz w:val="20"/>
                <w:szCs w:val="20"/>
              </w:rPr>
              <w:t>60</w:t>
            </w:r>
            <w:r w:rsidRPr="00226FA1">
              <w:rPr>
                <w:rFonts w:asciiTheme="majorHAnsi" w:hAnsiTheme="majorHAnsi" w:cstheme="majorHAnsi"/>
                <w:sz w:val="20"/>
                <w:szCs w:val="20"/>
              </w:rPr>
              <w:t xml:space="preserve"> </w:t>
            </w:r>
            <w:r w:rsidR="00BA40CE" w:rsidRPr="00226FA1">
              <w:rPr>
                <w:rFonts w:asciiTheme="majorHAnsi" w:hAnsiTheme="majorHAnsi" w:cstheme="majorHAnsi"/>
                <w:sz w:val="20"/>
                <w:szCs w:val="20"/>
              </w:rPr>
              <w:t>days</w:t>
            </w:r>
            <w:r w:rsidRPr="00226FA1">
              <w:rPr>
                <w:rFonts w:asciiTheme="majorHAnsi" w:hAnsiTheme="majorHAnsi" w:cstheme="majorHAnsi"/>
                <w:sz w:val="20"/>
                <w:szCs w:val="20"/>
              </w:rPr>
              <w:t>)</w:t>
            </w:r>
          </w:p>
        </w:tc>
      </w:tr>
      <w:tr w:rsidR="000A55B7" w:rsidRPr="00226FA1" w14:paraId="6A2FD736" w14:textId="77777777" w:rsidTr="00BF0746">
        <w:tc>
          <w:tcPr>
            <w:tcW w:w="2321" w:type="dxa"/>
            <w:vMerge w:val="restart"/>
            <w:tcBorders>
              <w:top w:val="single" w:sz="8" w:space="0" w:color="A8D08D" w:themeColor="accent6" w:themeTint="99"/>
              <w:bottom w:val="single" w:sz="8" w:space="0" w:color="A8D08D" w:themeColor="accent6" w:themeTint="99"/>
            </w:tcBorders>
            <w:vAlign w:val="center"/>
          </w:tcPr>
          <w:p w14:paraId="2C750977" w14:textId="77777777" w:rsidR="000A55B7" w:rsidRPr="00226FA1" w:rsidRDefault="000A55B7" w:rsidP="008775ED">
            <w:pPr>
              <w:spacing w:line="276" w:lineRule="auto"/>
              <w:jc w:val="both"/>
              <w:rPr>
                <w:rFonts w:asciiTheme="majorHAnsi" w:hAnsiTheme="majorHAnsi" w:cstheme="majorHAnsi"/>
                <w:b/>
                <w:sz w:val="20"/>
                <w:szCs w:val="20"/>
              </w:rPr>
            </w:pPr>
            <w:r w:rsidRPr="00226FA1">
              <w:rPr>
                <w:rFonts w:asciiTheme="majorHAnsi" w:hAnsiTheme="majorHAnsi" w:cstheme="majorHAnsi"/>
                <w:b/>
                <w:sz w:val="20"/>
                <w:szCs w:val="20"/>
              </w:rPr>
              <w:t>National accounts main</w:t>
            </w:r>
          </w:p>
          <w:p w14:paraId="20F8EAEE" w14:textId="77777777" w:rsidR="000A55B7" w:rsidRPr="00226FA1" w:rsidRDefault="000A55B7" w:rsidP="008775ED">
            <w:pPr>
              <w:spacing w:line="276" w:lineRule="auto"/>
              <w:jc w:val="both"/>
              <w:rPr>
                <w:rFonts w:asciiTheme="majorHAnsi" w:hAnsiTheme="majorHAnsi" w:cstheme="majorHAnsi"/>
                <w:b/>
                <w:sz w:val="20"/>
                <w:szCs w:val="20"/>
              </w:rPr>
            </w:pPr>
            <w:r w:rsidRPr="00226FA1">
              <w:rPr>
                <w:rFonts w:asciiTheme="majorHAnsi" w:hAnsiTheme="majorHAnsi" w:cstheme="majorHAnsi"/>
                <w:b/>
                <w:sz w:val="20"/>
                <w:szCs w:val="20"/>
              </w:rPr>
              <w:t>aggregates, annual data</w:t>
            </w:r>
          </w:p>
        </w:tc>
        <w:tc>
          <w:tcPr>
            <w:tcW w:w="4699" w:type="dxa"/>
            <w:tcBorders>
              <w:top w:val="single" w:sz="8" w:space="0" w:color="A8D08D" w:themeColor="accent6" w:themeTint="99"/>
              <w:bottom w:val="single" w:sz="8" w:space="0" w:color="A8D08D" w:themeColor="accent6" w:themeTint="99"/>
            </w:tcBorders>
            <w:vAlign w:val="center"/>
          </w:tcPr>
          <w:p w14:paraId="085977FE" w14:textId="782A0A5F" w:rsidR="000A55B7" w:rsidRPr="00DB37C4" w:rsidRDefault="000A55B7" w:rsidP="00DB37C4">
            <w:pPr>
              <w:spacing w:line="276" w:lineRule="auto"/>
              <w:jc w:val="both"/>
              <w:rPr>
                <w:rFonts w:asciiTheme="majorHAnsi" w:hAnsiTheme="majorHAnsi" w:cstheme="majorHAnsi"/>
                <w:sz w:val="20"/>
                <w:szCs w:val="20"/>
                <w:lang w:val="sr-Cyrl-RS"/>
              </w:rPr>
            </w:pPr>
            <w:r w:rsidRPr="00226FA1">
              <w:rPr>
                <w:rFonts w:asciiTheme="majorHAnsi" w:hAnsiTheme="majorHAnsi" w:cstheme="majorHAnsi"/>
                <w:sz w:val="20"/>
                <w:szCs w:val="20"/>
              </w:rPr>
              <w:t xml:space="preserve">Gross Domestic Product </w:t>
            </w:r>
            <w:r w:rsidR="00B13CC8">
              <w:rPr>
                <w:rFonts w:asciiTheme="majorHAnsi" w:hAnsiTheme="majorHAnsi" w:cstheme="majorHAnsi"/>
                <w:sz w:val="20"/>
                <w:szCs w:val="20"/>
              </w:rPr>
              <w:t>–</w:t>
            </w:r>
            <w:r w:rsidRPr="00226FA1">
              <w:rPr>
                <w:rFonts w:asciiTheme="majorHAnsi" w:hAnsiTheme="majorHAnsi" w:cstheme="majorHAnsi"/>
                <w:sz w:val="20"/>
                <w:szCs w:val="20"/>
              </w:rPr>
              <w:t xml:space="preserve"> the sum of four quarters, </w:t>
            </w:r>
            <w:r w:rsidR="00DB37C4">
              <w:rPr>
                <w:rFonts w:asciiTheme="majorHAnsi" w:hAnsiTheme="majorHAnsi" w:cstheme="majorHAnsi"/>
                <w:sz w:val="20"/>
                <w:szCs w:val="20"/>
              </w:rPr>
              <w:t>estimate</w:t>
            </w:r>
          </w:p>
        </w:tc>
        <w:tc>
          <w:tcPr>
            <w:tcW w:w="2194" w:type="dxa"/>
            <w:tcBorders>
              <w:top w:val="single" w:sz="8" w:space="0" w:color="A8D08D" w:themeColor="accent6" w:themeTint="99"/>
              <w:bottom w:val="single" w:sz="8" w:space="0" w:color="A8D08D" w:themeColor="accent6" w:themeTint="99"/>
            </w:tcBorders>
            <w:vAlign w:val="center"/>
          </w:tcPr>
          <w:p w14:paraId="6B5D0258" w14:textId="046B3DD0" w:rsidR="000A55B7" w:rsidRPr="00226FA1" w:rsidRDefault="000A55B7" w:rsidP="006D03A3">
            <w:pPr>
              <w:spacing w:line="276" w:lineRule="auto"/>
              <w:jc w:val="both"/>
              <w:rPr>
                <w:rFonts w:asciiTheme="majorHAnsi" w:hAnsiTheme="majorHAnsi" w:cstheme="majorHAnsi"/>
                <w:sz w:val="20"/>
                <w:szCs w:val="20"/>
              </w:rPr>
            </w:pPr>
            <w:r w:rsidRPr="00226FA1">
              <w:rPr>
                <w:rFonts w:asciiTheme="majorHAnsi" w:hAnsiTheme="majorHAnsi" w:cstheme="majorHAnsi"/>
                <w:sz w:val="20"/>
                <w:szCs w:val="20"/>
              </w:rPr>
              <w:t>1 per year (reference year + 2 months)</w:t>
            </w:r>
          </w:p>
        </w:tc>
      </w:tr>
      <w:tr w:rsidR="000A55B7" w:rsidRPr="00226FA1" w14:paraId="0DCDF8AC" w14:textId="77777777" w:rsidTr="00BF0746">
        <w:tc>
          <w:tcPr>
            <w:tcW w:w="2321" w:type="dxa"/>
            <w:vMerge/>
            <w:tcBorders>
              <w:top w:val="single" w:sz="8" w:space="0" w:color="A8D08D" w:themeColor="accent6" w:themeTint="99"/>
              <w:bottom w:val="single" w:sz="8" w:space="0" w:color="A8D08D" w:themeColor="accent6" w:themeTint="99"/>
            </w:tcBorders>
            <w:vAlign w:val="center"/>
          </w:tcPr>
          <w:p w14:paraId="48602C86" w14:textId="77777777" w:rsidR="000A55B7" w:rsidRPr="00226FA1" w:rsidRDefault="000A55B7" w:rsidP="008775ED">
            <w:pPr>
              <w:spacing w:line="276" w:lineRule="auto"/>
              <w:jc w:val="both"/>
              <w:rPr>
                <w:rFonts w:asciiTheme="majorHAnsi" w:hAnsiTheme="majorHAnsi" w:cstheme="majorHAnsi"/>
                <w:b/>
                <w:sz w:val="20"/>
                <w:szCs w:val="20"/>
              </w:rPr>
            </w:pPr>
          </w:p>
        </w:tc>
        <w:tc>
          <w:tcPr>
            <w:tcW w:w="4699" w:type="dxa"/>
            <w:tcBorders>
              <w:top w:val="single" w:sz="8" w:space="0" w:color="A8D08D" w:themeColor="accent6" w:themeTint="99"/>
              <w:bottom w:val="single" w:sz="8" w:space="0" w:color="A8D08D" w:themeColor="accent6" w:themeTint="99"/>
            </w:tcBorders>
            <w:vAlign w:val="center"/>
          </w:tcPr>
          <w:p w14:paraId="2C98FED3" w14:textId="21F03579" w:rsidR="000A55B7" w:rsidRPr="00226FA1" w:rsidRDefault="000A55B7" w:rsidP="00DB37C4">
            <w:pPr>
              <w:spacing w:line="276" w:lineRule="auto"/>
              <w:jc w:val="both"/>
              <w:rPr>
                <w:rFonts w:asciiTheme="majorHAnsi" w:hAnsiTheme="majorHAnsi" w:cstheme="majorHAnsi"/>
                <w:sz w:val="20"/>
                <w:szCs w:val="20"/>
              </w:rPr>
            </w:pPr>
            <w:r w:rsidRPr="00226FA1">
              <w:rPr>
                <w:rFonts w:asciiTheme="majorHAnsi" w:hAnsiTheme="majorHAnsi" w:cstheme="majorHAnsi"/>
                <w:sz w:val="20"/>
                <w:szCs w:val="20"/>
              </w:rPr>
              <w:t>Gross Domestic Product – annual compilation, preliminary data</w:t>
            </w:r>
          </w:p>
        </w:tc>
        <w:tc>
          <w:tcPr>
            <w:tcW w:w="2194" w:type="dxa"/>
            <w:tcBorders>
              <w:top w:val="single" w:sz="8" w:space="0" w:color="A8D08D" w:themeColor="accent6" w:themeTint="99"/>
              <w:bottom w:val="single" w:sz="8" w:space="0" w:color="A8D08D" w:themeColor="accent6" w:themeTint="99"/>
            </w:tcBorders>
            <w:vAlign w:val="center"/>
          </w:tcPr>
          <w:p w14:paraId="0474BEF2" w14:textId="212F0066" w:rsidR="000A55B7" w:rsidRPr="00226FA1" w:rsidRDefault="000A55B7" w:rsidP="006D03A3">
            <w:pPr>
              <w:spacing w:line="276" w:lineRule="auto"/>
              <w:jc w:val="both"/>
              <w:rPr>
                <w:rFonts w:asciiTheme="majorHAnsi" w:hAnsiTheme="majorHAnsi" w:cstheme="majorHAnsi"/>
                <w:sz w:val="20"/>
                <w:szCs w:val="20"/>
              </w:rPr>
            </w:pPr>
            <w:r w:rsidRPr="00226FA1">
              <w:rPr>
                <w:rFonts w:asciiTheme="majorHAnsi" w:hAnsiTheme="majorHAnsi" w:cstheme="majorHAnsi"/>
                <w:sz w:val="20"/>
                <w:szCs w:val="20"/>
              </w:rPr>
              <w:t>1 per year (reference year + 9 months)</w:t>
            </w:r>
          </w:p>
        </w:tc>
      </w:tr>
      <w:tr w:rsidR="000A55B7" w:rsidRPr="00226FA1" w14:paraId="0F51C6FB" w14:textId="77777777" w:rsidTr="00BF0746">
        <w:tc>
          <w:tcPr>
            <w:tcW w:w="2321" w:type="dxa"/>
            <w:vMerge/>
            <w:tcBorders>
              <w:top w:val="single" w:sz="8" w:space="0" w:color="A8D08D" w:themeColor="accent6" w:themeTint="99"/>
              <w:bottom w:val="single" w:sz="8" w:space="0" w:color="A8D08D" w:themeColor="accent6" w:themeTint="99"/>
            </w:tcBorders>
            <w:vAlign w:val="center"/>
          </w:tcPr>
          <w:p w14:paraId="313F7A6B" w14:textId="77777777" w:rsidR="000A55B7" w:rsidRPr="00226FA1" w:rsidRDefault="000A55B7" w:rsidP="008775ED">
            <w:pPr>
              <w:spacing w:line="276" w:lineRule="auto"/>
              <w:jc w:val="both"/>
              <w:rPr>
                <w:rFonts w:asciiTheme="majorHAnsi" w:hAnsiTheme="majorHAnsi" w:cstheme="majorHAnsi"/>
                <w:b/>
                <w:sz w:val="20"/>
                <w:szCs w:val="20"/>
              </w:rPr>
            </w:pPr>
          </w:p>
        </w:tc>
        <w:tc>
          <w:tcPr>
            <w:tcW w:w="4699" w:type="dxa"/>
            <w:tcBorders>
              <w:top w:val="single" w:sz="8" w:space="0" w:color="A8D08D" w:themeColor="accent6" w:themeTint="99"/>
              <w:bottom w:val="single" w:sz="8" w:space="0" w:color="A8D08D" w:themeColor="accent6" w:themeTint="99"/>
            </w:tcBorders>
            <w:vAlign w:val="center"/>
          </w:tcPr>
          <w:p w14:paraId="6B482905" w14:textId="1EE2CB52" w:rsidR="000A55B7" w:rsidRPr="00226FA1" w:rsidRDefault="000A55B7" w:rsidP="000A55B7">
            <w:pPr>
              <w:spacing w:line="276" w:lineRule="auto"/>
              <w:jc w:val="both"/>
              <w:rPr>
                <w:rFonts w:asciiTheme="majorHAnsi" w:hAnsiTheme="majorHAnsi" w:cstheme="majorHAnsi"/>
                <w:sz w:val="20"/>
                <w:szCs w:val="20"/>
              </w:rPr>
            </w:pPr>
            <w:r w:rsidRPr="00226FA1">
              <w:rPr>
                <w:rFonts w:asciiTheme="majorHAnsi" w:hAnsiTheme="majorHAnsi" w:cstheme="majorHAnsi"/>
                <w:sz w:val="20"/>
                <w:szCs w:val="20"/>
              </w:rPr>
              <w:t xml:space="preserve">Gross Domestic Product – based on </w:t>
            </w:r>
            <w:r w:rsidR="00664F64" w:rsidRPr="00226FA1">
              <w:rPr>
                <w:rFonts w:asciiTheme="majorHAnsi" w:hAnsiTheme="majorHAnsi" w:cstheme="majorHAnsi"/>
                <w:sz w:val="20"/>
                <w:szCs w:val="20"/>
              </w:rPr>
              <w:t>SU</w:t>
            </w:r>
            <w:r w:rsidR="00664F64">
              <w:rPr>
                <w:rFonts w:asciiTheme="majorHAnsi" w:hAnsiTheme="majorHAnsi" w:cstheme="majorHAnsi"/>
                <w:sz w:val="20"/>
                <w:szCs w:val="20"/>
              </w:rPr>
              <w:t>T-</w:t>
            </w:r>
            <w:r w:rsidR="00664F64" w:rsidRPr="00226FA1">
              <w:rPr>
                <w:rFonts w:asciiTheme="majorHAnsi" w:hAnsiTheme="majorHAnsi" w:cstheme="majorHAnsi"/>
                <w:sz w:val="20"/>
                <w:szCs w:val="20"/>
              </w:rPr>
              <w:t>IOT</w:t>
            </w:r>
            <w:r w:rsidRPr="00226FA1">
              <w:rPr>
                <w:rFonts w:asciiTheme="majorHAnsi" w:hAnsiTheme="majorHAnsi" w:cstheme="majorHAnsi"/>
                <w:sz w:val="20"/>
                <w:szCs w:val="20"/>
              </w:rPr>
              <w:t>, the final data</w:t>
            </w:r>
          </w:p>
        </w:tc>
        <w:tc>
          <w:tcPr>
            <w:tcW w:w="2194" w:type="dxa"/>
            <w:tcBorders>
              <w:top w:val="single" w:sz="8" w:space="0" w:color="A8D08D" w:themeColor="accent6" w:themeTint="99"/>
              <w:bottom w:val="single" w:sz="8" w:space="0" w:color="A8D08D" w:themeColor="accent6" w:themeTint="99"/>
            </w:tcBorders>
            <w:vAlign w:val="center"/>
          </w:tcPr>
          <w:p w14:paraId="4A5A8FF7" w14:textId="11DC4704" w:rsidR="000A55B7" w:rsidRPr="00226FA1" w:rsidRDefault="000A55B7" w:rsidP="00F85776">
            <w:pPr>
              <w:spacing w:line="276" w:lineRule="auto"/>
              <w:jc w:val="both"/>
              <w:rPr>
                <w:rFonts w:asciiTheme="majorHAnsi" w:hAnsiTheme="majorHAnsi" w:cstheme="majorHAnsi"/>
                <w:sz w:val="20"/>
                <w:szCs w:val="20"/>
              </w:rPr>
            </w:pPr>
            <w:r w:rsidRPr="00226FA1">
              <w:rPr>
                <w:rFonts w:asciiTheme="majorHAnsi" w:hAnsiTheme="majorHAnsi" w:cstheme="majorHAnsi"/>
                <w:sz w:val="20"/>
                <w:szCs w:val="20"/>
              </w:rPr>
              <w:t xml:space="preserve">1 per year (reference year + </w:t>
            </w:r>
            <w:r w:rsidR="00F85776" w:rsidRPr="00226FA1">
              <w:rPr>
                <w:rFonts w:asciiTheme="majorHAnsi" w:hAnsiTheme="majorHAnsi" w:cstheme="majorHAnsi"/>
                <w:sz w:val="20"/>
                <w:szCs w:val="20"/>
              </w:rPr>
              <w:t>21</w:t>
            </w:r>
            <w:r w:rsidRPr="00226FA1">
              <w:rPr>
                <w:rFonts w:asciiTheme="majorHAnsi" w:hAnsiTheme="majorHAnsi" w:cstheme="majorHAnsi"/>
                <w:sz w:val="20"/>
                <w:szCs w:val="20"/>
              </w:rPr>
              <w:t xml:space="preserve"> months)</w:t>
            </w:r>
          </w:p>
        </w:tc>
      </w:tr>
      <w:tr w:rsidR="00AB12DE" w:rsidRPr="00226FA1" w14:paraId="4F0E72E0" w14:textId="77777777" w:rsidTr="00BF0746">
        <w:tc>
          <w:tcPr>
            <w:tcW w:w="2321" w:type="dxa"/>
            <w:tcBorders>
              <w:top w:val="single" w:sz="8" w:space="0" w:color="A8D08D" w:themeColor="accent6" w:themeTint="99"/>
              <w:bottom w:val="single" w:sz="8" w:space="0" w:color="A8D08D" w:themeColor="accent6" w:themeTint="99"/>
            </w:tcBorders>
            <w:vAlign w:val="center"/>
          </w:tcPr>
          <w:p w14:paraId="514A40FE" w14:textId="720015F4" w:rsidR="00AB12DE" w:rsidRPr="00226FA1" w:rsidRDefault="00FD623F" w:rsidP="008775ED">
            <w:pPr>
              <w:spacing w:line="276" w:lineRule="auto"/>
              <w:jc w:val="both"/>
              <w:rPr>
                <w:rFonts w:asciiTheme="majorHAnsi" w:hAnsiTheme="majorHAnsi" w:cstheme="majorHAnsi"/>
                <w:b/>
                <w:sz w:val="20"/>
                <w:szCs w:val="20"/>
              </w:rPr>
            </w:pPr>
            <w:r>
              <w:rPr>
                <w:rFonts w:asciiTheme="majorHAnsi" w:hAnsiTheme="majorHAnsi" w:cstheme="majorHAnsi"/>
                <w:b/>
                <w:sz w:val="20"/>
                <w:szCs w:val="20"/>
              </w:rPr>
              <w:t>Annual sector accounts</w:t>
            </w:r>
          </w:p>
        </w:tc>
        <w:tc>
          <w:tcPr>
            <w:tcW w:w="4699" w:type="dxa"/>
            <w:tcBorders>
              <w:top w:val="single" w:sz="8" w:space="0" w:color="A8D08D" w:themeColor="accent6" w:themeTint="99"/>
              <w:bottom w:val="single" w:sz="8" w:space="0" w:color="A8D08D" w:themeColor="accent6" w:themeTint="99"/>
            </w:tcBorders>
            <w:vAlign w:val="center"/>
          </w:tcPr>
          <w:p w14:paraId="28AC25D8" w14:textId="027239C5" w:rsidR="00AB12DE" w:rsidRPr="00226FA1" w:rsidRDefault="00FD623F" w:rsidP="008775ED">
            <w:pPr>
              <w:spacing w:line="276" w:lineRule="auto"/>
              <w:jc w:val="both"/>
              <w:rPr>
                <w:rFonts w:asciiTheme="majorHAnsi" w:hAnsiTheme="majorHAnsi" w:cstheme="majorHAnsi"/>
                <w:sz w:val="20"/>
                <w:szCs w:val="20"/>
              </w:rPr>
            </w:pPr>
            <w:r>
              <w:rPr>
                <w:rFonts w:asciiTheme="majorHAnsi" w:hAnsiTheme="majorHAnsi" w:cstheme="majorHAnsi"/>
                <w:sz w:val="20"/>
                <w:szCs w:val="20"/>
              </w:rPr>
              <w:t>Full set of annual non-financial sector accounts</w:t>
            </w:r>
          </w:p>
        </w:tc>
        <w:tc>
          <w:tcPr>
            <w:tcW w:w="2194" w:type="dxa"/>
            <w:tcBorders>
              <w:top w:val="single" w:sz="8" w:space="0" w:color="A8D08D" w:themeColor="accent6" w:themeTint="99"/>
              <w:bottom w:val="single" w:sz="8" w:space="0" w:color="A8D08D" w:themeColor="accent6" w:themeTint="99"/>
            </w:tcBorders>
            <w:vAlign w:val="center"/>
          </w:tcPr>
          <w:p w14:paraId="6F349393" w14:textId="1CD83731" w:rsidR="00AB12DE" w:rsidRPr="00226FA1" w:rsidRDefault="00341FBB" w:rsidP="007A72A1">
            <w:pPr>
              <w:spacing w:line="276" w:lineRule="auto"/>
              <w:jc w:val="both"/>
              <w:rPr>
                <w:rFonts w:asciiTheme="majorHAnsi" w:hAnsiTheme="majorHAnsi" w:cstheme="majorHAnsi"/>
                <w:sz w:val="20"/>
                <w:szCs w:val="20"/>
              </w:rPr>
            </w:pPr>
            <w:r w:rsidRPr="00341FBB">
              <w:rPr>
                <w:rFonts w:asciiTheme="majorHAnsi" w:hAnsiTheme="majorHAnsi" w:cstheme="majorHAnsi"/>
                <w:sz w:val="20"/>
                <w:szCs w:val="20"/>
              </w:rPr>
              <w:t>1 per year (refer</w:t>
            </w:r>
            <w:r>
              <w:rPr>
                <w:rFonts w:asciiTheme="majorHAnsi" w:hAnsiTheme="majorHAnsi" w:cstheme="majorHAnsi"/>
                <w:sz w:val="20"/>
                <w:szCs w:val="20"/>
              </w:rPr>
              <w:t>ence year + 1</w:t>
            </w:r>
            <w:r w:rsidRPr="00341FBB">
              <w:rPr>
                <w:rFonts w:asciiTheme="majorHAnsi" w:hAnsiTheme="majorHAnsi" w:cstheme="majorHAnsi"/>
                <w:sz w:val="20"/>
                <w:szCs w:val="20"/>
              </w:rPr>
              <w:t>1 months)</w:t>
            </w:r>
          </w:p>
        </w:tc>
      </w:tr>
      <w:tr w:rsidR="008775ED" w:rsidRPr="00226FA1" w14:paraId="635E6917" w14:textId="77777777" w:rsidTr="00BF0746">
        <w:tc>
          <w:tcPr>
            <w:tcW w:w="2321" w:type="dxa"/>
            <w:vMerge w:val="restart"/>
            <w:tcBorders>
              <w:top w:val="single" w:sz="8" w:space="0" w:color="A8D08D" w:themeColor="accent6" w:themeTint="99"/>
              <w:bottom w:val="single" w:sz="8" w:space="0" w:color="A8D08D" w:themeColor="accent6" w:themeTint="99"/>
            </w:tcBorders>
            <w:vAlign w:val="center"/>
          </w:tcPr>
          <w:p w14:paraId="31C99F26" w14:textId="77777777" w:rsidR="008775ED" w:rsidRPr="00226FA1" w:rsidRDefault="008775ED" w:rsidP="008775ED">
            <w:pPr>
              <w:spacing w:line="276" w:lineRule="auto"/>
              <w:jc w:val="both"/>
              <w:rPr>
                <w:rFonts w:asciiTheme="majorHAnsi" w:hAnsiTheme="majorHAnsi" w:cstheme="majorHAnsi"/>
                <w:b/>
                <w:sz w:val="20"/>
                <w:szCs w:val="20"/>
              </w:rPr>
            </w:pPr>
            <w:r w:rsidRPr="00226FA1">
              <w:rPr>
                <w:rFonts w:asciiTheme="majorHAnsi" w:hAnsiTheme="majorHAnsi" w:cstheme="majorHAnsi"/>
                <w:b/>
                <w:sz w:val="20"/>
                <w:szCs w:val="20"/>
              </w:rPr>
              <w:t>Regional accounts</w:t>
            </w:r>
          </w:p>
        </w:tc>
        <w:tc>
          <w:tcPr>
            <w:tcW w:w="4699" w:type="dxa"/>
            <w:tcBorders>
              <w:top w:val="single" w:sz="8" w:space="0" w:color="A8D08D" w:themeColor="accent6" w:themeTint="99"/>
              <w:bottom w:val="single" w:sz="8" w:space="0" w:color="A8D08D" w:themeColor="accent6" w:themeTint="99"/>
            </w:tcBorders>
            <w:vAlign w:val="center"/>
          </w:tcPr>
          <w:p w14:paraId="1EEB4548" w14:textId="77777777" w:rsidR="008775ED" w:rsidRPr="00226FA1" w:rsidRDefault="008775ED" w:rsidP="008775ED">
            <w:pPr>
              <w:spacing w:line="276" w:lineRule="auto"/>
              <w:jc w:val="both"/>
              <w:rPr>
                <w:rFonts w:asciiTheme="majorHAnsi" w:hAnsiTheme="majorHAnsi" w:cstheme="majorHAnsi"/>
                <w:sz w:val="20"/>
                <w:szCs w:val="20"/>
              </w:rPr>
            </w:pPr>
            <w:r w:rsidRPr="00226FA1">
              <w:rPr>
                <w:rFonts w:asciiTheme="majorHAnsi" w:hAnsiTheme="majorHAnsi" w:cstheme="majorHAnsi"/>
                <w:sz w:val="20"/>
                <w:szCs w:val="20"/>
              </w:rPr>
              <w:t>Regional GDP</w:t>
            </w:r>
          </w:p>
        </w:tc>
        <w:tc>
          <w:tcPr>
            <w:tcW w:w="2194" w:type="dxa"/>
            <w:tcBorders>
              <w:top w:val="single" w:sz="8" w:space="0" w:color="A8D08D" w:themeColor="accent6" w:themeTint="99"/>
              <w:bottom w:val="single" w:sz="8" w:space="0" w:color="A8D08D" w:themeColor="accent6" w:themeTint="99"/>
            </w:tcBorders>
            <w:vAlign w:val="center"/>
          </w:tcPr>
          <w:p w14:paraId="42CD91C7" w14:textId="6402AC1B" w:rsidR="008775ED" w:rsidRPr="00226FA1" w:rsidRDefault="008775ED" w:rsidP="007A72A1">
            <w:pPr>
              <w:spacing w:line="276" w:lineRule="auto"/>
              <w:jc w:val="both"/>
              <w:rPr>
                <w:rFonts w:asciiTheme="majorHAnsi" w:hAnsiTheme="majorHAnsi" w:cstheme="majorHAnsi"/>
                <w:sz w:val="20"/>
                <w:szCs w:val="20"/>
              </w:rPr>
            </w:pPr>
            <w:r w:rsidRPr="00226FA1">
              <w:rPr>
                <w:rFonts w:asciiTheme="majorHAnsi" w:hAnsiTheme="majorHAnsi" w:cstheme="majorHAnsi"/>
                <w:sz w:val="20"/>
                <w:szCs w:val="20"/>
              </w:rPr>
              <w:t>1 per year (</w:t>
            </w:r>
            <w:r w:rsidR="007A72A1" w:rsidRPr="00226FA1">
              <w:rPr>
                <w:rFonts w:asciiTheme="majorHAnsi" w:hAnsiTheme="majorHAnsi" w:cstheme="majorHAnsi"/>
                <w:sz w:val="20"/>
                <w:szCs w:val="20"/>
              </w:rPr>
              <w:t>reference year + 11 months</w:t>
            </w:r>
            <w:r w:rsidRPr="00226FA1">
              <w:rPr>
                <w:rFonts w:asciiTheme="majorHAnsi" w:hAnsiTheme="majorHAnsi" w:cstheme="majorHAnsi"/>
                <w:sz w:val="20"/>
                <w:szCs w:val="20"/>
              </w:rPr>
              <w:t>)</w:t>
            </w:r>
          </w:p>
        </w:tc>
      </w:tr>
      <w:tr w:rsidR="008775ED" w:rsidRPr="00226FA1" w14:paraId="1F4AF321" w14:textId="77777777" w:rsidTr="00BF0746">
        <w:tc>
          <w:tcPr>
            <w:tcW w:w="2321" w:type="dxa"/>
            <w:vMerge/>
            <w:tcBorders>
              <w:top w:val="single" w:sz="8" w:space="0" w:color="A8D08D" w:themeColor="accent6" w:themeTint="99"/>
              <w:bottom w:val="single" w:sz="8" w:space="0" w:color="A8D08D" w:themeColor="accent6" w:themeTint="99"/>
            </w:tcBorders>
            <w:vAlign w:val="center"/>
          </w:tcPr>
          <w:p w14:paraId="37F2837A" w14:textId="77777777" w:rsidR="008775ED" w:rsidRPr="00226FA1" w:rsidRDefault="008775ED" w:rsidP="008775ED">
            <w:pPr>
              <w:spacing w:line="276" w:lineRule="auto"/>
              <w:jc w:val="both"/>
              <w:rPr>
                <w:rFonts w:asciiTheme="majorHAnsi" w:hAnsiTheme="majorHAnsi" w:cstheme="majorHAnsi"/>
                <w:b/>
                <w:sz w:val="20"/>
                <w:szCs w:val="20"/>
              </w:rPr>
            </w:pPr>
          </w:p>
        </w:tc>
        <w:tc>
          <w:tcPr>
            <w:tcW w:w="4699" w:type="dxa"/>
            <w:tcBorders>
              <w:top w:val="single" w:sz="8" w:space="0" w:color="A8D08D" w:themeColor="accent6" w:themeTint="99"/>
              <w:bottom w:val="single" w:sz="8" w:space="0" w:color="A8D08D" w:themeColor="accent6" w:themeTint="99"/>
            </w:tcBorders>
            <w:vAlign w:val="center"/>
          </w:tcPr>
          <w:p w14:paraId="6DAABD47" w14:textId="77777777" w:rsidR="008775ED" w:rsidRPr="00226FA1" w:rsidRDefault="008775ED" w:rsidP="008775ED">
            <w:pPr>
              <w:spacing w:line="276" w:lineRule="auto"/>
              <w:jc w:val="both"/>
              <w:rPr>
                <w:rFonts w:asciiTheme="majorHAnsi" w:hAnsiTheme="majorHAnsi" w:cstheme="majorHAnsi"/>
                <w:sz w:val="20"/>
                <w:szCs w:val="20"/>
              </w:rPr>
            </w:pPr>
            <w:r w:rsidRPr="00226FA1">
              <w:rPr>
                <w:rFonts w:asciiTheme="majorHAnsi" w:hAnsiTheme="majorHAnsi" w:cstheme="majorHAnsi"/>
                <w:sz w:val="20"/>
                <w:szCs w:val="20"/>
              </w:rPr>
              <w:t>Regional GDP – with breakdowns</w:t>
            </w:r>
          </w:p>
        </w:tc>
        <w:tc>
          <w:tcPr>
            <w:tcW w:w="2194" w:type="dxa"/>
            <w:tcBorders>
              <w:top w:val="single" w:sz="8" w:space="0" w:color="A8D08D" w:themeColor="accent6" w:themeTint="99"/>
              <w:bottom w:val="single" w:sz="8" w:space="0" w:color="A8D08D" w:themeColor="accent6" w:themeTint="99"/>
            </w:tcBorders>
            <w:vAlign w:val="center"/>
          </w:tcPr>
          <w:p w14:paraId="4A2C4474" w14:textId="6F6547A6" w:rsidR="008775ED" w:rsidRPr="00226FA1" w:rsidRDefault="008775ED" w:rsidP="007A72A1">
            <w:pPr>
              <w:spacing w:line="276" w:lineRule="auto"/>
              <w:jc w:val="both"/>
              <w:rPr>
                <w:rFonts w:asciiTheme="majorHAnsi" w:hAnsiTheme="majorHAnsi" w:cstheme="majorHAnsi"/>
                <w:sz w:val="20"/>
                <w:szCs w:val="20"/>
              </w:rPr>
            </w:pPr>
            <w:r w:rsidRPr="00226FA1">
              <w:rPr>
                <w:rFonts w:asciiTheme="majorHAnsi" w:hAnsiTheme="majorHAnsi" w:cstheme="majorHAnsi"/>
                <w:sz w:val="20"/>
                <w:szCs w:val="20"/>
              </w:rPr>
              <w:t>1 per year (</w:t>
            </w:r>
            <w:r w:rsidR="007A72A1" w:rsidRPr="00226FA1">
              <w:rPr>
                <w:rFonts w:asciiTheme="majorHAnsi" w:hAnsiTheme="majorHAnsi" w:cstheme="majorHAnsi"/>
                <w:sz w:val="20"/>
                <w:szCs w:val="20"/>
              </w:rPr>
              <w:t>reference year + 15 months</w:t>
            </w:r>
            <w:r w:rsidRPr="00226FA1">
              <w:rPr>
                <w:rFonts w:asciiTheme="majorHAnsi" w:hAnsiTheme="majorHAnsi" w:cstheme="majorHAnsi"/>
                <w:sz w:val="20"/>
                <w:szCs w:val="20"/>
              </w:rPr>
              <w:t>)</w:t>
            </w:r>
          </w:p>
        </w:tc>
      </w:tr>
      <w:tr w:rsidR="008775ED" w:rsidRPr="00226FA1" w14:paraId="6E538D1C" w14:textId="77777777" w:rsidTr="00BF0746">
        <w:tc>
          <w:tcPr>
            <w:tcW w:w="2321" w:type="dxa"/>
            <w:tcBorders>
              <w:top w:val="single" w:sz="8" w:space="0" w:color="A8D08D" w:themeColor="accent6" w:themeTint="99"/>
              <w:bottom w:val="single" w:sz="8" w:space="0" w:color="A8D08D" w:themeColor="accent6" w:themeTint="99"/>
            </w:tcBorders>
            <w:vAlign w:val="center"/>
          </w:tcPr>
          <w:p w14:paraId="195DFC6D" w14:textId="15865A1E" w:rsidR="008775ED" w:rsidRPr="00664F64" w:rsidRDefault="00664F64" w:rsidP="008775ED">
            <w:pPr>
              <w:spacing w:line="276" w:lineRule="auto"/>
              <w:jc w:val="both"/>
              <w:rPr>
                <w:rFonts w:asciiTheme="majorHAnsi" w:hAnsiTheme="majorHAnsi" w:cstheme="majorHAnsi"/>
                <w:b/>
                <w:sz w:val="20"/>
                <w:szCs w:val="20"/>
              </w:rPr>
            </w:pPr>
            <w:r w:rsidRPr="00664F64">
              <w:rPr>
                <w:rFonts w:asciiTheme="majorHAnsi" w:hAnsiTheme="majorHAnsi" w:cstheme="majorHAnsi"/>
                <w:b/>
                <w:sz w:val="20"/>
                <w:szCs w:val="20"/>
              </w:rPr>
              <w:t>SUT-IOT</w:t>
            </w:r>
          </w:p>
        </w:tc>
        <w:tc>
          <w:tcPr>
            <w:tcW w:w="4699" w:type="dxa"/>
            <w:tcBorders>
              <w:top w:val="single" w:sz="8" w:space="0" w:color="A8D08D" w:themeColor="accent6" w:themeTint="99"/>
              <w:bottom w:val="single" w:sz="8" w:space="0" w:color="A8D08D" w:themeColor="accent6" w:themeTint="99"/>
            </w:tcBorders>
            <w:vAlign w:val="center"/>
          </w:tcPr>
          <w:p w14:paraId="45A9A75B" w14:textId="77777777" w:rsidR="008775ED" w:rsidRPr="00226FA1" w:rsidRDefault="008775ED" w:rsidP="008775ED">
            <w:pPr>
              <w:spacing w:line="276" w:lineRule="auto"/>
              <w:jc w:val="both"/>
              <w:rPr>
                <w:rFonts w:asciiTheme="majorHAnsi" w:hAnsiTheme="majorHAnsi" w:cstheme="majorHAnsi"/>
                <w:sz w:val="20"/>
                <w:szCs w:val="20"/>
              </w:rPr>
            </w:pPr>
            <w:r w:rsidRPr="00226FA1">
              <w:rPr>
                <w:rFonts w:asciiTheme="majorHAnsi" w:hAnsiTheme="majorHAnsi" w:cstheme="majorHAnsi"/>
                <w:sz w:val="20"/>
                <w:szCs w:val="20"/>
              </w:rPr>
              <w:t>Supply and use tables and Input-output tables</w:t>
            </w:r>
          </w:p>
        </w:tc>
        <w:tc>
          <w:tcPr>
            <w:tcW w:w="2194" w:type="dxa"/>
            <w:tcBorders>
              <w:top w:val="single" w:sz="8" w:space="0" w:color="A8D08D" w:themeColor="accent6" w:themeTint="99"/>
              <w:bottom w:val="single" w:sz="8" w:space="0" w:color="A8D08D" w:themeColor="accent6" w:themeTint="99"/>
            </w:tcBorders>
            <w:vAlign w:val="center"/>
          </w:tcPr>
          <w:p w14:paraId="18862C05" w14:textId="64AC2DC7" w:rsidR="008775ED" w:rsidRPr="00226FA1" w:rsidRDefault="007A72A1" w:rsidP="008775ED">
            <w:pPr>
              <w:spacing w:line="276" w:lineRule="auto"/>
              <w:jc w:val="both"/>
              <w:rPr>
                <w:rFonts w:asciiTheme="majorHAnsi" w:hAnsiTheme="majorHAnsi" w:cstheme="majorHAnsi"/>
                <w:sz w:val="20"/>
                <w:szCs w:val="20"/>
              </w:rPr>
            </w:pPr>
            <w:r w:rsidRPr="00226FA1">
              <w:rPr>
                <w:rFonts w:asciiTheme="majorHAnsi" w:hAnsiTheme="majorHAnsi" w:cstheme="majorHAnsi"/>
                <w:sz w:val="20"/>
                <w:szCs w:val="20"/>
              </w:rPr>
              <w:t>1 per year (reference year + 21 months)</w:t>
            </w:r>
          </w:p>
        </w:tc>
      </w:tr>
      <w:tr w:rsidR="008775ED" w:rsidRPr="00226FA1" w14:paraId="29282CF1" w14:textId="77777777" w:rsidTr="00BF0746">
        <w:tc>
          <w:tcPr>
            <w:tcW w:w="2321" w:type="dxa"/>
            <w:tcBorders>
              <w:top w:val="single" w:sz="8" w:space="0" w:color="A8D08D" w:themeColor="accent6" w:themeTint="99"/>
              <w:bottom w:val="single" w:sz="8" w:space="0" w:color="auto"/>
            </w:tcBorders>
            <w:vAlign w:val="center"/>
          </w:tcPr>
          <w:p w14:paraId="16596E73" w14:textId="77777777" w:rsidR="008775ED" w:rsidRPr="00226FA1" w:rsidRDefault="008775ED" w:rsidP="008775ED">
            <w:pPr>
              <w:spacing w:line="276" w:lineRule="auto"/>
              <w:rPr>
                <w:rFonts w:asciiTheme="majorHAnsi" w:hAnsiTheme="majorHAnsi" w:cstheme="majorHAnsi"/>
                <w:b/>
                <w:sz w:val="20"/>
                <w:szCs w:val="20"/>
              </w:rPr>
            </w:pPr>
            <w:r w:rsidRPr="00226FA1">
              <w:rPr>
                <w:rFonts w:asciiTheme="majorHAnsi" w:hAnsiTheme="majorHAnsi" w:cstheme="majorHAnsi"/>
                <w:b/>
                <w:sz w:val="20"/>
                <w:szCs w:val="20"/>
              </w:rPr>
              <w:t>Government finance statistics</w:t>
            </w:r>
          </w:p>
        </w:tc>
        <w:tc>
          <w:tcPr>
            <w:tcW w:w="4699" w:type="dxa"/>
            <w:tcBorders>
              <w:top w:val="single" w:sz="8" w:space="0" w:color="A8D08D" w:themeColor="accent6" w:themeTint="99"/>
              <w:bottom w:val="single" w:sz="8" w:space="0" w:color="auto"/>
            </w:tcBorders>
            <w:vAlign w:val="center"/>
          </w:tcPr>
          <w:p w14:paraId="7FEEEE3E" w14:textId="77777777" w:rsidR="008775ED" w:rsidRPr="00226FA1" w:rsidRDefault="008775ED" w:rsidP="008775ED">
            <w:pPr>
              <w:spacing w:line="276" w:lineRule="auto"/>
              <w:jc w:val="both"/>
              <w:rPr>
                <w:rFonts w:asciiTheme="majorHAnsi" w:hAnsiTheme="majorHAnsi" w:cstheme="majorHAnsi"/>
                <w:sz w:val="20"/>
                <w:szCs w:val="20"/>
              </w:rPr>
            </w:pPr>
            <w:r w:rsidRPr="00226FA1">
              <w:rPr>
                <w:rFonts w:asciiTheme="majorHAnsi" w:hAnsiTheme="majorHAnsi" w:cstheme="majorHAnsi"/>
                <w:sz w:val="20"/>
                <w:szCs w:val="20"/>
              </w:rPr>
              <w:t>Tax receipts and social contributions</w:t>
            </w:r>
          </w:p>
        </w:tc>
        <w:tc>
          <w:tcPr>
            <w:tcW w:w="2194" w:type="dxa"/>
            <w:tcBorders>
              <w:top w:val="single" w:sz="8" w:space="0" w:color="A8D08D" w:themeColor="accent6" w:themeTint="99"/>
              <w:bottom w:val="single" w:sz="8" w:space="0" w:color="auto"/>
            </w:tcBorders>
            <w:vAlign w:val="center"/>
          </w:tcPr>
          <w:p w14:paraId="0C36B0C5" w14:textId="6B608F18" w:rsidR="008775ED" w:rsidRPr="00226FA1" w:rsidRDefault="007901EE" w:rsidP="008775ED">
            <w:pPr>
              <w:spacing w:line="276" w:lineRule="auto"/>
              <w:jc w:val="both"/>
              <w:rPr>
                <w:rFonts w:asciiTheme="majorHAnsi" w:hAnsiTheme="majorHAnsi" w:cstheme="majorHAnsi"/>
                <w:sz w:val="20"/>
                <w:szCs w:val="20"/>
              </w:rPr>
            </w:pPr>
            <w:r w:rsidRPr="00226FA1">
              <w:rPr>
                <w:rFonts w:asciiTheme="majorHAnsi" w:hAnsiTheme="majorHAnsi" w:cstheme="majorHAnsi"/>
                <w:sz w:val="20"/>
                <w:szCs w:val="20"/>
              </w:rPr>
              <w:t>1 per year (reference year + 9 months)</w:t>
            </w:r>
          </w:p>
        </w:tc>
      </w:tr>
    </w:tbl>
    <w:p w14:paraId="4C9987E5" w14:textId="77777777" w:rsidR="00C073E2" w:rsidRPr="00226FA1" w:rsidRDefault="00C073E2" w:rsidP="008775ED">
      <w:pPr>
        <w:spacing w:after="0" w:line="276" w:lineRule="auto"/>
        <w:jc w:val="both"/>
        <w:rPr>
          <w:rFonts w:asciiTheme="majorHAnsi" w:eastAsiaTheme="minorHAnsi" w:hAnsiTheme="majorHAnsi" w:cstheme="majorHAnsi"/>
          <w:sz w:val="20"/>
          <w:szCs w:val="20"/>
          <w:highlight w:val="yellow"/>
        </w:rPr>
      </w:pPr>
    </w:p>
    <w:p w14:paraId="5AED9F52" w14:textId="79055309" w:rsidR="008775ED" w:rsidRPr="00226FA1" w:rsidRDefault="008775ED" w:rsidP="009E19F8">
      <w:pPr>
        <w:spacing w:line="276" w:lineRule="auto"/>
        <w:jc w:val="both"/>
        <w:rPr>
          <w:rFonts w:asciiTheme="majorHAnsi" w:eastAsiaTheme="minorHAnsi" w:hAnsiTheme="majorHAnsi" w:cstheme="majorHAnsi"/>
          <w:sz w:val="20"/>
          <w:szCs w:val="20"/>
        </w:rPr>
      </w:pPr>
      <w:r w:rsidRPr="00226FA1">
        <w:rPr>
          <w:rFonts w:asciiTheme="majorHAnsi" w:eastAsiaTheme="minorHAnsi" w:hAnsiTheme="majorHAnsi" w:cstheme="majorHAnsi"/>
          <w:sz w:val="20"/>
          <w:szCs w:val="20"/>
        </w:rPr>
        <w:t>The flash estimate of GDP is published 30 days after the reference quarter as a single figure, showing Q to Q-4 real growth rate of GDP. Estimates of QNA aggregates are published 60 days after the end of the reference quarter. It covers GDP by production and expenditure approach with breakdown by categories.</w:t>
      </w:r>
    </w:p>
    <w:p w14:paraId="7594B05D" w14:textId="376FD24F" w:rsidR="00BE2573" w:rsidRDefault="00B13CC8" w:rsidP="009E19F8">
      <w:pPr>
        <w:spacing w:line="276" w:lineRule="auto"/>
        <w:jc w:val="both"/>
        <w:rPr>
          <w:rFonts w:asciiTheme="majorHAnsi" w:eastAsiaTheme="minorHAnsi" w:hAnsiTheme="majorHAnsi" w:cstheme="majorHAnsi"/>
          <w:sz w:val="20"/>
          <w:szCs w:val="20"/>
        </w:rPr>
      </w:pPr>
      <w:r>
        <w:rPr>
          <w:rFonts w:asciiTheme="majorHAnsi" w:eastAsiaTheme="minorHAnsi" w:hAnsiTheme="majorHAnsi" w:cstheme="majorHAnsi"/>
          <w:sz w:val="20"/>
          <w:szCs w:val="20"/>
        </w:rPr>
        <w:t>The SORS e</w:t>
      </w:r>
      <w:r w:rsidR="00AA2301" w:rsidRPr="00226FA1">
        <w:rPr>
          <w:rFonts w:asciiTheme="majorHAnsi" w:eastAsiaTheme="minorHAnsi" w:hAnsiTheme="majorHAnsi" w:cstheme="majorHAnsi"/>
          <w:sz w:val="20"/>
          <w:szCs w:val="20"/>
        </w:rPr>
        <w:t>stimation and publishing program</w:t>
      </w:r>
      <w:r w:rsidR="001F3FA7">
        <w:rPr>
          <w:rFonts w:asciiTheme="majorHAnsi" w:eastAsiaTheme="minorHAnsi" w:hAnsiTheme="majorHAnsi" w:cstheme="majorHAnsi"/>
          <w:sz w:val="20"/>
          <w:szCs w:val="20"/>
        </w:rPr>
        <w:t>me</w:t>
      </w:r>
      <w:r w:rsidR="00AA2301">
        <w:rPr>
          <w:rFonts w:asciiTheme="majorHAnsi" w:eastAsiaTheme="minorHAnsi" w:hAnsiTheme="majorHAnsi" w:cstheme="majorHAnsi"/>
          <w:sz w:val="20"/>
          <w:szCs w:val="20"/>
        </w:rPr>
        <w:t xml:space="preserve"> </w:t>
      </w:r>
      <w:r w:rsidR="00AA2301" w:rsidRPr="00226FA1">
        <w:rPr>
          <w:rFonts w:asciiTheme="majorHAnsi" w:eastAsiaTheme="minorHAnsi" w:hAnsiTheme="majorHAnsi" w:cstheme="majorHAnsi"/>
          <w:sz w:val="20"/>
          <w:szCs w:val="20"/>
        </w:rPr>
        <w:t>involves three successive</w:t>
      </w:r>
      <w:r w:rsidR="00481622">
        <w:rPr>
          <w:rFonts w:asciiTheme="majorHAnsi" w:eastAsiaTheme="minorHAnsi" w:hAnsiTheme="majorHAnsi" w:cstheme="majorHAnsi"/>
          <w:sz w:val="20"/>
          <w:szCs w:val="20"/>
          <w:lang w:val="sr-Latn-RS"/>
        </w:rPr>
        <w:t xml:space="preserve"> </w:t>
      </w:r>
      <w:r w:rsidR="00481622" w:rsidRPr="000F3C39">
        <w:rPr>
          <w:rFonts w:asciiTheme="majorHAnsi" w:eastAsiaTheme="minorHAnsi" w:hAnsiTheme="majorHAnsi" w:cstheme="majorHAnsi"/>
          <w:sz w:val="20"/>
          <w:szCs w:val="20"/>
          <w:lang w:val="en-GB"/>
        </w:rPr>
        <w:t>annual</w:t>
      </w:r>
      <w:r w:rsidR="00AA2301" w:rsidRPr="00226FA1">
        <w:rPr>
          <w:rFonts w:asciiTheme="majorHAnsi" w:eastAsiaTheme="minorHAnsi" w:hAnsiTheme="majorHAnsi" w:cstheme="majorHAnsi"/>
          <w:sz w:val="20"/>
          <w:szCs w:val="20"/>
        </w:rPr>
        <w:t xml:space="preserve"> GDP estimates:</w:t>
      </w:r>
    </w:p>
    <w:p w14:paraId="12CB0F3A" w14:textId="77777777" w:rsidR="00BE2573" w:rsidRPr="00BE2573" w:rsidRDefault="00AA2301" w:rsidP="00BE2573">
      <w:pPr>
        <w:pStyle w:val="ListParagraph"/>
        <w:numPr>
          <w:ilvl w:val="0"/>
          <w:numId w:val="28"/>
        </w:numPr>
        <w:spacing w:line="276" w:lineRule="auto"/>
        <w:jc w:val="both"/>
        <w:rPr>
          <w:rFonts w:asciiTheme="majorHAnsi" w:hAnsiTheme="majorHAnsi" w:cstheme="majorHAnsi"/>
          <w:sz w:val="20"/>
          <w:szCs w:val="20"/>
        </w:rPr>
      </w:pPr>
      <w:r w:rsidRPr="00BE2573">
        <w:rPr>
          <w:rFonts w:asciiTheme="majorHAnsi" w:hAnsiTheme="majorHAnsi" w:cstheme="majorHAnsi"/>
          <w:sz w:val="20"/>
          <w:szCs w:val="20"/>
        </w:rPr>
        <w:t>estimate</w:t>
      </w:r>
      <w:r w:rsidR="000F3C39" w:rsidRPr="00BE2573">
        <w:rPr>
          <w:rFonts w:asciiTheme="majorHAnsi" w:hAnsiTheme="majorHAnsi" w:cstheme="majorHAnsi"/>
          <w:sz w:val="20"/>
          <w:szCs w:val="20"/>
          <w:lang w:val="sr-Cyrl-RS"/>
        </w:rPr>
        <w:t>,</w:t>
      </w:r>
      <w:r w:rsidRPr="00BE2573">
        <w:rPr>
          <w:rFonts w:asciiTheme="majorHAnsi" w:hAnsiTheme="majorHAnsi" w:cstheme="majorHAnsi"/>
          <w:sz w:val="20"/>
          <w:szCs w:val="20"/>
        </w:rPr>
        <w:t xml:space="preserve"> as the sum of four quarterly GDP</w:t>
      </w:r>
      <w:r w:rsidR="00822E12" w:rsidRPr="00BE2573">
        <w:rPr>
          <w:rFonts w:asciiTheme="majorHAnsi" w:hAnsiTheme="majorHAnsi" w:cstheme="majorHAnsi"/>
          <w:sz w:val="20"/>
          <w:szCs w:val="20"/>
        </w:rPr>
        <w:t xml:space="preserve"> values</w:t>
      </w:r>
      <w:r w:rsidRPr="00BE2573">
        <w:rPr>
          <w:rFonts w:asciiTheme="majorHAnsi" w:hAnsiTheme="majorHAnsi" w:cstheme="majorHAnsi"/>
          <w:sz w:val="20"/>
          <w:szCs w:val="20"/>
        </w:rPr>
        <w:t>, published at the end of February;</w:t>
      </w:r>
    </w:p>
    <w:p w14:paraId="69CE8BEB" w14:textId="2E913DFB" w:rsidR="00BE2573" w:rsidRPr="00BE2573" w:rsidRDefault="00AA2301" w:rsidP="00BE2573">
      <w:pPr>
        <w:pStyle w:val="ListParagraph"/>
        <w:numPr>
          <w:ilvl w:val="0"/>
          <w:numId w:val="28"/>
        </w:numPr>
        <w:spacing w:line="276" w:lineRule="auto"/>
        <w:jc w:val="both"/>
        <w:rPr>
          <w:rFonts w:asciiTheme="majorHAnsi" w:hAnsiTheme="majorHAnsi" w:cstheme="majorHAnsi"/>
          <w:sz w:val="20"/>
          <w:szCs w:val="20"/>
        </w:rPr>
      </w:pPr>
      <w:r w:rsidRPr="00BE2573">
        <w:rPr>
          <w:rFonts w:asciiTheme="majorHAnsi" w:hAnsiTheme="majorHAnsi" w:cstheme="majorHAnsi"/>
          <w:sz w:val="20"/>
          <w:szCs w:val="20"/>
        </w:rPr>
        <w:t xml:space="preserve">preliminary GDP </w:t>
      </w:r>
      <w:r w:rsidR="000F3C39" w:rsidRPr="00BE2573">
        <w:rPr>
          <w:rFonts w:asciiTheme="majorHAnsi" w:hAnsiTheme="majorHAnsi" w:cstheme="majorHAnsi"/>
          <w:sz w:val="20"/>
          <w:szCs w:val="20"/>
          <w:lang w:val="sr-Latn-RS"/>
        </w:rPr>
        <w:t xml:space="preserve">data, </w:t>
      </w:r>
      <w:r w:rsidR="001F3FA7">
        <w:rPr>
          <w:rFonts w:asciiTheme="majorHAnsi" w:hAnsiTheme="majorHAnsi" w:cstheme="majorHAnsi"/>
          <w:sz w:val="20"/>
          <w:szCs w:val="20"/>
        </w:rPr>
        <w:t>resulting from</w:t>
      </w:r>
      <w:r w:rsidRPr="00BE2573">
        <w:rPr>
          <w:rFonts w:asciiTheme="majorHAnsi" w:hAnsiTheme="majorHAnsi" w:cstheme="majorHAnsi"/>
          <w:sz w:val="20"/>
          <w:szCs w:val="20"/>
        </w:rPr>
        <w:t xml:space="preserve"> annual GDP compilation, published at the end of September</w:t>
      </w:r>
      <w:r w:rsidR="00B13CC8">
        <w:rPr>
          <w:rFonts w:asciiTheme="majorHAnsi" w:hAnsiTheme="majorHAnsi" w:cstheme="majorHAnsi"/>
          <w:sz w:val="20"/>
          <w:szCs w:val="20"/>
        </w:rPr>
        <w:t xml:space="preserve">; </w:t>
      </w:r>
      <w:r w:rsidR="00A85D27">
        <w:rPr>
          <w:rFonts w:asciiTheme="majorHAnsi" w:hAnsiTheme="majorHAnsi" w:cstheme="majorHAnsi"/>
          <w:sz w:val="20"/>
          <w:szCs w:val="20"/>
        </w:rPr>
        <w:t>and</w:t>
      </w:r>
    </w:p>
    <w:p w14:paraId="30EF092F" w14:textId="10528915" w:rsidR="00686F18" w:rsidRPr="008D70B2" w:rsidRDefault="00AA2301" w:rsidP="00BE2573">
      <w:pPr>
        <w:pStyle w:val="ListParagraph"/>
        <w:numPr>
          <w:ilvl w:val="0"/>
          <w:numId w:val="28"/>
        </w:numPr>
        <w:spacing w:line="276" w:lineRule="auto"/>
        <w:jc w:val="both"/>
        <w:rPr>
          <w:rFonts w:asciiTheme="majorHAnsi" w:hAnsiTheme="majorHAnsi" w:cstheme="majorHAnsi"/>
          <w:sz w:val="20"/>
          <w:szCs w:val="20"/>
        </w:rPr>
      </w:pPr>
      <w:proofErr w:type="gramStart"/>
      <w:r w:rsidRPr="00BE2573">
        <w:rPr>
          <w:rFonts w:asciiTheme="majorHAnsi" w:hAnsiTheme="majorHAnsi" w:cstheme="majorHAnsi"/>
          <w:sz w:val="20"/>
          <w:szCs w:val="20"/>
        </w:rPr>
        <w:t>the</w:t>
      </w:r>
      <w:proofErr w:type="gramEnd"/>
      <w:r w:rsidRPr="00BE2573">
        <w:rPr>
          <w:rFonts w:asciiTheme="majorHAnsi" w:hAnsiTheme="majorHAnsi" w:cstheme="majorHAnsi"/>
          <w:sz w:val="20"/>
          <w:szCs w:val="20"/>
        </w:rPr>
        <w:t xml:space="preserve"> final </w:t>
      </w:r>
      <w:r w:rsidR="000F3C39" w:rsidRPr="00BE2573">
        <w:rPr>
          <w:rFonts w:asciiTheme="majorHAnsi" w:hAnsiTheme="majorHAnsi" w:cstheme="majorHAnsi"/>
          <w:sz w:val="20"/>
          <w:szCs w:val="20"/>
        </w:rPr>
        <w:t>data</w:t>
      </w:r>
      <w:r w:rsidRPr="00BE2573">
        <w:rPr>
          <w:rFonts w:asciiTheme="majorHAnsi" w:hAnsiTheme="majorHAnsi" w:cstheme="majorHAnsi"/>
          <w:sz w:val="20"/>
          <w:szCs w:val="20"/>
        </w:rPr>
        <w:t>, released one year later</w:t>
      </w:r>
      <w:r w:rsidR="00BE2573" w:rsidRPr="00BE2573">
        <w:rPr>
          <w:rFonts w:asciiTheme="majorHAnsi" w:hAnsiTheme="majorHAnsi" w:cstheme="majorHAnsi"/>
          <w:sz w:val="20"/>
          <w:szCs w:val="20"/>
        </w:rPr>
        <w:t>,</w:t>
      </w:r>
      <w:r w:rsidRPr="00BE2573">
        <w:rPr>
          <w:rFonts w:asciiTheme="majorHAnsi" w:hAnsiTheme="majorHAnsi" w:cstheme="majorHAnsi"/>
          <w:sz w:val="20"/>
          <w:szCs w:val="20"/>
        </w:rPr>
        <w:t xml:space="preserve"> based on the results of input-output statistics, i.e. supply and use </w:t>
      </w:r>
      <w:r w:rsidRPr="008D70B2">
        <w:rPr>
          <w:rFonts w:asciiTheme="majorHAnsi" w:hAnsiTheme="majorHAnsi" w:cstheme="majorHAnsi"/>
          <w:sz w:val="20"/>
          <w:szCs w:val="20"/>
        </w:rPr>
        <w:t>tables.</w:t>
      </w:r>
      <w:r w:rsidR="00686F18" w:rsidRPr="008D70B2">
        <w:rPr>
          <w:rFonts w:asciiTheme="majorHAnsi" w:hAnsiTheme="majorHAnsi" w:cstheme="majorHAnsi"/>
          <w:sz w:val="20"/>
          <w:szCs w:val="20"/>
        </w:rPr>
        <w:t xml:space="preserve"> </w:t>
      </w:r>
    </w:p>
    <w:p w14:paraId="0A731D3A" w14:textId="46AACD93" w:rsidR="00CF7988" w:rsidRPr="00CF7988" w:rsidRDefault="00CF7988" w:rsidP="00CF7988">
      <w:pPr>
        <w:spacing w:line="276" w:lineRule="auto"/>
        <w:jc w:val="both"/>
        <w:rPr>
          <w:rFonts w:asciiTheme="majorHAnsi" w:hAnsiTheme="majorHAnsi" w:cstheme="majorHAnsi"/>
          <w:sz w:val="20"/>
          <w:szCs w:val="20"/>
        </w:rPr>
      </w:pPr>
      <w:r w:rsidRPr="008D70B2">
        <w:rPr>
          <w:rFonts w:asciiTheme="majorHAnsi" w:hAnsiTheme="majorHAnsi" w:cstheme="majorHAnsi"/>
          <w:sz w:val="20"/>
          <w:szCs w:val="20"/>
        </w:rPr>
        <w:t xml:space="preserve">Full set of annual non-financial sector accounts are published once a year, </w:t>
      </w:r>
      <w:r w:rsidR="000B5DC8" w:rsidRPr="008D70B2">
        <w:rPr>
          <w:rFonts w:asciiTheme="majorHAnsi" w:hAnsiTheme="majorHAnsi" w:cstheme="majorHAnsi"/>
          <w:sz w:val="20"/>
          <w:szCs w:val="20"/>
        </w:rPr>
        <w:t>1</w:t>
      </w:r>
      <w:r w:rsidRPr="008D70B2">
        <w:rPr>
          <w:rFonts w:asciiTheme="majorHAnsi" w:hAnsiTheme="majorHAnsi" w:cstheme="majorHAnsi"/>
          <w:sz w:val="20"/>
          <w:szCs w:val="20"/>
        </w:rPr>
        <w:t>1 months after the end of the reference year.</w:t>
      </w:r>
    </w:p>
    <w:p w14:paraId="61C12B20" w14:textId="00349ED1" w:rsidR="00686F18" w:rsidRDefault="00686F18" w:rsidP="00686F18">
      <w:pPr>
        <w:spacing w:after="0" w:line="276" w:lineRule="auto"/>
        <w:jc w:val="both"/>
        <w:rPr>
          <w:rFonts w:asciiTheme="majorHAnsi" w:eastAsiaTheme="minorHAnsi" w:hAnsiTheme="majorHAnsi" w:cstheme="majorHAnsi"/>
          <w:sz w:val="20"/>
          <w:szCs w:val="20"/>
        </w:rPr>
      </w:pPr>
      <w:r w:rsidRPr="00226FA1">
        <w:rPr>
          <w:rFonts w:asciiTheme="majorHAnsi" w:eastAsiaTheme="minorHAnsi" w:hAnsiTheme="majorHAnsi" w:cstheme="majorHAnsi"/>
          <w:sz w:val="20"/>
          <w:szCs w:val="20"/>
        </w:rPr>
        <w:lastRenderedPageBreak/>
        <w:t xml:space="preserve">Regional accounts </w:t>
      </w:r>
      <w:r w:rsidRPr="00D06974">
        <w:rPr>
          <w:rFonts w:asciiTheme="majorHAnsi" w:eastAsiaTheme="minorHAnsi" w:hAnsiTheme="majorHAnsi" w:cstheme="majorHAnsi"/>
          <w:sz w:val="20"/>
          <w:szCs w:val="20"/>
        </w:rPr>
        <w:t xml:space="preserve">are </w:t>
      </w:r>
      <w:r w:rsidR="005C7787" w:rsidRPr="00D06974">
        <w:rPr>
          <w:rFonts w:asciiTheme="majorHAnsi" w:eastAsiaTheme="minorHAnsi" w:hAnsiTheme="majorHAnsi" w:cstheme="majorHAnsi"/>
          <w:sz w:val="20"/>
          <w:szCs w:val="20"/>
          <w:lang w:val="sr-Latn-RS"/>
        </w:rPr>
        <w:t>published</w:t>
      </w:r>
      <w:r w:rsidRPr="00D06974">
        <w:rPr>
          <w:rFonts w:asciiTheme="majorHAnsi" w:eastAsiaTheme="minorHAnsi" w:hAnsiTheme="majorHAnsi" w:cstheme="majorHAnsi"/>
          <w:sz w:val="20"/>
          <w:szCs w:val="20"/>
        </w:rPr>
        <w:t xml:space="preserve"> tw</w:t>
      </w:r>
      <w:r w:rsidR="00822E12" w:rsidRPr="00D06974">
        <w:rPr>
          <w:rFonts w:asciiTheme="majorHAnsi" w:eastAsiaTheme="minorHAnsi" w:hAnsiTheme="majorHAnsi" w:cstheme="majorHAnsi"/>
          <w:sz w:val="20"/>
          <w:szCs w:val="20"/>
        </w:rPr>
        <w:t>ice</w:t>
      </w:r>
      <w:r w:rsidR="00822E12">
        <w:rPr>
          <w:rFonts w:asciiTheme="majorHAnsi" w:eastAsiaTheme="minorHAnsi" w:hAnsiTheme="majorHAnsi" w:cstheme="majorHAnsi"/>
          <w:sz w:val="20"/>
          <w:szCs w:val="20"/>
        </w:rPr>
        <w:t xml:space="preserve"> a</w:t>
      </w:r>
      <w:r w:rsidRPr="00226FA1">
        <w:rPr>
          <w:rFonts w:asciiTheme="majorHAnsi" w:eastAsiaTheme="minorHAnsi" w:hAnsiTheme="majorHAnsi" w:cstheme="majorHAnsi"/>
          <w:sz w:val="20"/>
          <w:szCs w:val="20"/>
        </w:rPr>
        <w:t xml:space="preserve"> year.</w:t>
      </w:r>
      <w:r w:rsidRPr="00226FA1">
        <w:rPr>
          <w:rFonts w:eastAsiaTheme="minorHAnsi"/>
        </w:rPr>
        <w:t xml:space="preserve"> </w:t>
      </w:r>
      <w:r w:rsidRPr="00226FA1">
        <w:rPr>
          <w:rFonts w:asciiTheme="majorHAnsi" w:eastAsiaTheme="minorHAnsi" w:hAnsiTheme="majorHAnsi" w:cstheme="majorHAnsi"/>
          <w:sz w:val="20"/>
          <w:szCs w:val="20"/>
        </w:rPr>
        <w:t>The publication in November is in the form of a statistical release - GDP by region</w:t>
      </w:r>
      <w:r w:rsidR="00DC73AB">
        <w:rPr>
          <w:rFonts w:asciiTheme="majorHAnsi" w:eastAsiaTheme="minorHAnsi" w:hAnsiTheme="majorHAnsi" w:cstheme="majorHAnsi"/>
          <w:sz w:val="20"/>
          <w:szCs w:val="20"/>
        </w:rPr>
        <w:t>s,</w:t>
      </w:r>
      <w:r w:rsidRPr="00226FA1">
        <w:rPr>
          <w:rFonts w:asciiTheme="majorHAnsi" w:eastAsiaTheme="minorHAnsi" w:hAnsiTheme="majorHAnsi" w:cstheme="majorHAnsi"/>
          <w:sz w:val="20"/>
          <w:szCs w:val="20"/>
        </w:rPr>
        <w:t xml:space="preserve"> while in March </w:t>
      </w:r>
      <w:r w:rsidR="009E19F8">
        <w:rPr>
          <w:rFonts w:asciiTheme="majorHAnsi" w:eastAsiaTheme="minorHAnsi" w:hAnsiTheme="majorHAnsi" w:cstheme="majorHAnsi"/>
          <w:sz w:val="20"/>
          <w:szCs w:val="20"/>
        </w:rPr>
        <w:t xml:space="preserve">the </w:t>
      </w:r>
      <w:r w:rsidRPr="00226FA1">
        <w:rPr>
          <w:rFonts w:asciiTheme="majorHAnsi" w:eastAsiaTheme="minorHAnsi" w:hAnsiTheme="majorHAnsi" w:cstheme="majorHAnsi"/>
          <w:sz w:val="20"/>
          <w:szCs w:val="20"/>
        </w:rPr>
        <w:t>publication</w:t>
      </w:r>
      <w:r w:rsidR="00DC73AB">
        <w:rPr>
          <w:rFonts w:asciiTheme="majorHAnsi" w:eastAsiaTheme="minorHAnsi" w:hAnsiTheme="majorHAnsi" w:cstheme="majorHAnsi"/>
          <w:sz w:val="20"/>
          <w:szCs w:val="20"/>
        </w:rPr>
        <w:t xml:space="preserve"> is given</w:t>
      </w:r>
      <w:r w:rsidRPr="00226FA1">
        <w:rPr>
          <w:rFonts w:asciiTheme="majorHAnsi" w:eastAsiaTheme="minorHAnsi" w:hAnsiTheme="majorHAnsi" w:cstheme="majorHAnsi"/>
          <w:sz w:val="20"/>
          <w:szCs w:val="20"/>
        </w:rPr>
        <w:t xml:space="preserve"> in the form of a working document with detailed breakdown by categories. </w:t>
      </w:r>
    </w:p>
    <w:p w14:paraId="3CE1FDB3" w14:textId="77777777" w:rsidR="009E24E1" w:rsidRDefault="009E24E1" w:rsidP="00686F18">
      <w:pPr>
        <w:spacing w:after="0" w:line="276" w:lineRule="auto"/>
        <w:jc w:val="both"/>
        <w:rPr>
          <w:rFonts w:asciiTheme="majorHAnsi" w:eastAsiaTheme="minorHAnsi" w:hAnsiTheme="majorHAnsi" w:cstheme="majorHAnsi"/>
          <w:sz w:val="20"/>
          <w:szCs w:val="20"/>
        </w:rPr>
      </w:pPr>
    </w:p>
    <w:p w14:paraId="07289D3D" w14:textId="3A604A9E" w:rsidR="00686F18" w:rsidRPr="00226FA1" w:rsidRDefault="00686F18" w:rsidP="00686F18">
      <w:pPr>
        <w:spacing w:line="276" w:lineRule="auto"/>
        <w:jc w:val="both"/>
        <w:rPr>
          <w:rFonts w:asciiTheme="majorHAnsi" w:hAnsiTheme="majorHAnsi" w:cstheme="majorHAnsi"/>
          <w:sz w:val="20"/>
          <w:szCs w:val="20"/>
        </w:rPr>
      </w:pPr>
      <w:r w:rsidRPr="00226FA1">
        <w:rPr>
          <w:rFonts w:asciiTheme="majorHAnsi" w:hAnsiTheme="majorHAnsi" w:cstheme="majorHAnsi"/>
          <w:sz w:val="20"/>
          <w:szCs w:val="20"/>
        </w:rPr>
        <w:t xml:space="preserve">Supply and use tables </w:t>
      </w:r>
      <w:r>
        <w:rPr>
          <w:rFonts w:asciiTheme="majorHAnsi" w:hAnsiTheme="majorHAnsi" w:cstheme="majorHAnsi"/>
          <w:sz w:val="20"/>
          <w:szCs w:val="20"/>
        </w:rPr>
        <w:t>are published once a year</w:t>
      </w:r>
      <w:r w:rsidR="008D70B2" w:rsidRPr="008D70B2">
        <w:rPr>
          <w:rFonts w:asciiTheme="majorHAnsi" w:hAnsiTheme="majorHAnsi" w:cstheme="majorHAnsi"/>
          <w:sz w:val="20"/>
          <w:szCs w:val="20"/>
        </w:rPr>
        <w:t xml:space="preserve"> </w:t>
      </w:r>
      <w:r w:rsidR="008D70B2" w:rsidRPr="00226FA1">
        <w:rPr>
          <w:rFonts w:asciiTheme="majorHAnsi" w:hAnsiTheme="majorHAnsi" w:cstheme="majorHAnsi"/>
          <w:sz w:val="20"/>
          <w:szCs w:val="20"/>
        </w:rPr>
        <w:t>and Input-output tables</w:t>
      </w:r>
      <w:r w:rsidR="008D70B2">
        <w:rPr>
          <w:rFonts w:asciiTheme="majorHAnsi" w:hAnsiTheme="majorHAnsi" w:cstheme="majorHAnsi"/>
          <w:sz w:val="20"/>
          <w:szCs w:val="20"/>
        </w:rPr>
        <w:t xml:space="preserve"> are published every fifth year</w:t>
      </w:r>
      <w:r w:rsidR="00822E12">
        <w:rPr>
          <w:rFonts w:asciiTheme="majorHAnsi" w:hAnsiTheme="majorHAnsi" w:cstheme="majorHAnsi"/>
          <w:sz w:val="20"/>
          <w:szCs w:val="20"/>
        </w:rPr>
        <w:t>,</w:t>
      </w:r>
      <w:r>
        <w:rPr>
          <w:rFonts w:asciiTheme="majorHAnsi" w:hAnsiTheme="majorHAnsi" w:cstheme="majorHAnsi"/>
          <w:sz w:val="20"/>
          <w:szCs w:val="20"/>
        </w:rPr>
        <w:t xml:space="preserve"> </w:t>
      </w:r>
      <w:r w:rsidRPr="00226FA1">
        <w:rPr>
          <w:rFonts w:asciiTheme="majorHAnsi" w:hAnsiTheme="majorHAnsi" w:cstheme="majorHAnsi"/>
          <w:sz w:val="20"/>
          <w:szCs w:val="20"/>
        </w:rPr>
        <w:t>21 months</w:t>
      </w:r>
      <w:r>
        <w:rPr>
          <w:rFonts w:asciiTheme="majorHAnsi" w:hAnsiTheme="majorHAnsi" w:cstheme="majorHAnsi"/>
          <w:sz w:val="20"/>
          <w:szCs w:val="20"/>
        </w:rPr>
        <w:t xml:space="preserve"> after the end of the reference year.</w:t>
      </w:r>
    </w:p>
    <w:p w14:paraId="1EB40F47" w14:textId="26688F4D" w:rsidR="00686F18" w:rsidRPr="00226FA1" w:rsidRDefault="00686F18" w:rsidP="00686F18">
      <w:pPr>
        <w:jc w:val="both"/>
        <w:rPr>
          <w:rFonts w:asciiTheme="majorHAnsi" w:eastAsiaTheme="minorHAnsi" w:hAnsiTheme="majorHAnsi" w:cstheme="majorHAnsi"/>
          <w:sz w:val="20"/>
          <w:szCs w:val="20"/>
        </w:rPr>
      </w:pPr>
      <w:r w:rsidRPr="00226FA1">
        <w:rPr>
          <w:rFonts w:asciiTheme="majorHAnsi" w:hAnsiTheme="majorHAnsi" w:cstheme="majorHAnsi"/>
          <w:sz w:val="20"/>
          <w:szCs w:val="20"/>
        </w:rPr>
        <w:t>Tax receipts and social contributions</w:t>
      </w:r>
      <w:r>
        <w:rPr>
          <w:rFonts w:asciiTheme="majorHAnsi" w:hAnsiTheme="majorHAnsi" w:cstheme="majorHAnsi"/>
          <w:sz w:val="20"/>
          <w:szCs w:val="20"/>
        </w:rPr>
        <w:t xml:space="preserve"> are published once a year</w:t>
      </w:r>
      <w:r w:rsidR="00822E12">
        <w:rPr>
          <w:rFonts w:asciiTheme="majorHAnsi" w:hAnsiTheme="majorHAnsi" w:cstheme="majorHAnsi"/>
          <w:sz w:val="20"/>
          <w:szCs w:val="20"/>
        </w:rPr>
        <w:t>,</w:t>
      </w:r>
      <w:r>
        <w:rPr>
          <w:rFonts w:asciiTheme="majorHAnsi" w:hAnsiTheme="majorHAnsi" w:cstheme="majorHAnsi"/>
          <w:sz w:val="20"/>
          <w:szCs w:val="20"/>
        </w:rPr>
        <w:t xml:space="preserve"> </w:t>
      </w:r>
      <w:r w:rsidR="00E1558D">
        <w:rPr>
          <w:rFonts w:asciiTheme="majorHAnsi" w:hAnsiTheme="majorHAnsi" w:cstheme="majorHAnsi"/>
          <w:sz w:val="20"/>
          <w:szCs w:val="20"/>
        </w:rPr>
        <w:t>nine</w:t>
      </w:r>
      <w:r w:rsidR="00E1558D" w:rsidRPr="00226FA1">
        <w:rPr>
          <w:rFonts w:asciiTheme="majorHAnsi" w:hAnsiTheme="majorHAnsi" w:cstheme="majorHAnsi"/>
          <w:sz w:val="20"/>
          <w:szCs w:val="20"/>
        </w:rPr>
        <w:t xml:space="preserve"> </w:t>
      </w:r>
      <w:r w:rsidRPr="00226FA1">
        <w:rPr>
          <w:rFonts w:asciiTheme="majorHAnsi" w:hAnsiTheme="majorHAnsi" w:cstheme="majorHAnsi"/>
          <w:sz w:val="20"/>
          <w:szCs w:val="20"/>
        </w:rPr>
        <w:t>months</w:t>
      </w:r>
      <w:r>
        <w:rPr>
          <w:rFonts w:asciiTheme="majorHAnsi" w:hAnsiTheme="majorHAnsi" w:cstheme="majorHAnsi"/>
          <w:sz w:val="20"/>
          <w:szCs w:val="20"/>
        </w:rPr>
        <w:t xml:space="preserve"> after the end of the reference year.</w:t>
      </w:r>
    </w:p>
    <w:p w14:paraId="4D805D03" w14:textId="5776987B" w:rsidR="008775ED" w:rsidRPr="00E31115" w:rsidRDefault="008775ED" w:rsidP="008775ED">
      <w:pPr>
        <w:pStyle w:val="Heading1"/>
        <w:rPr>
          <w:rFonts w:eastAsiaTheme="minorHAnsi"/>
        </w:rPr>
      </w:pPr>
      <w:bookmarkStart w:id="2" w:name="_Toc130908746"/>
      <w:r w:rsidRPr="00226FA1">
        <w:rPr>
          <w:rFonts w:eastAsiaTheme="minorHAnsi"/>
        </w:rPr>
        <w:t>Routine revisions (Current revisions)</w:t>
      </w:r>
      <w:bookmarkEnd w:id="2"/>
    </w:p>
    <w:p w14:paraId="507D1076" w14:textId="678B7E70" w:rsidR="008775ED" w:rsidRPr="00226FA1" w:rsidRDefault="008775ED" w:rsidP="006E289C">
      <w:pPr>
        <w:jc w:val="both"/>
        <w:rPr>
          <w:rFonts w:asciiTheme="majorHAnsi" w:eastAsiaTheme="minorHAnsi" w:hAnsiTheme="majorHAnsi" w:cstheme="majorHAnsi"/>
          <w:bCs/>
          <w:sz w:val="20"/>
          <w:szCs w:val="20"/>
        </w:rPr>
      </w:pPr>
      <w:r w:rsidRPr="00226FA1">
        <w:rPr>
          <w:rFonts w:asciiTheme="majorHAnsi" w:eastAsiaTheme="minorHAnsi" w:hAnsiTheme="majorHAnsi" w:cstheme="majorHAnsi"/>
          <w:bCs/>
          <w:sz w:val="20"/>
          <w:szCs w:val="20"/>
        </w:rPr>
        <w:t xml:space="preserve">Routine revisions, by their nature, are </w:t>
      </w:r>
      <w:r w:rsidR="009E19F8">
        <w:rPr>
          <w:rFonts w:asciiTheme="majorHAnsi" w:eastAsiaTheme="minorHAnsi" w:hAnsiTheme="majorHAnsi" w:cstheme="majorHAnsi"/>
          <w:bCs/>
          <w:sz w:val="20"/>
          <w:szCs w:val="20"/>
        </w:rPr>
        <w:t xml:space="preserve">an </w:t>
      </w:r>
      <w:r w:rsidRPr="00226FA1">
        <w:rPr>
          <w:rFonts w:asciiTheme="majorHAnsi" w:eastAsiaTheme="minorHAnsi" w:hAnsiTheme="majorHAnsi" w:cstheme="majorHAnsi"/>
          <w:bCs/>
          <w:sz w:val="20"/>
          <w:szCs w:val="20"/>
        </w:rPr>
        <w:t>integral part of the process of data production (</w:t>
      </w:r>
      <w:r w:rsidR="00226FA1" w:rsidRPr="00226FA1">
        <w:rPr>
          <w:rFonts w:asciiTheme="majorHAnsi" w:eastAsiaTheme="minorHAnsi" w:hAnsiTheme="majorHAnsi" w:cstheme="majorHAnsi"/>
          <w:bCs/>
          <w:sz w:val="20"/>
          <w:szCs w:val="20"/>
        </w:rPr>
        <w:t>e.g.,</w:t>
      </w:r>
      <w:r w:rsidRPr="00226FA1">
        <w:rPr>
          <w:rFonts w:asciiTheme="majorHAnsi" w:eastAsiaTheme="minorHAnsi" w:hAnsiTheme="majorHAnsi" w:cstheme="majorHAnsi"/>
          <w:bCs/>
          <w:sz w:val="20"/>
          <w:szCs w:val="20"/>
        </w:rPr>
        <w:t xml:space="preserve"> estimated values for missing data are replaced by data collected by statistical survey). They are generally performed </w:t>
      </w:r>
      <w:r w:rsidR="007A2997">
        <w:rPr>
          <w:rFonts w:asciiTheme="majorHAnsi" w:eastAsiaTheme="minorHAnsi" w:hAnsiTheme="majorHAnsi" w:cstheme="majorHAnsi"/>
          <w:bCs/>
          <w:sz w:val="20"/>
          <w:szCs w:val="20"/>
        </w:rPr>
        <w:t>as a result of</w:t>
      </w:r>
      <w:r w:rsidRPr="00226FA1">
        <w:rPr>
          <w:rFonts w:asciiTheme="majorHAnsi" w:eastAsiaTheme="minorHAnsi" w:hAnsiTheme="majorHAnsi" w:cstheme="majorHAnsi"/>
          <w:bCs/>
          <w:sz w:val="20"/>
          <w:szCs w:val="20"/>
        </w:rPr>
        <w:t xml:space="preserve"> a continuous inflow of new information and incoming new data related to the past. </w:t>
      </w:r>
    </w:p>
    <w:p w14:paraId="68ED54F5" w14:textId="7EF575AD" w:rsidR="008775ED" w:rsidRPr="00226FA1" w:rsidRDefault="008775ED" w:rsidP="006E289C">
      <w:pPr>
        <w:jc w:val="both"/>
        <w:rPr>
          <w:rFonts w:asciiTheme="majorHAnsi" w:eastAsiaTheme="minorHAnsi" w:hAnsiTheme="majorHAnsi" w:cstheme="majorHAnsi"/>
          <w:bCs/>
          <w:sz w:val="20"/>
          <w:szCs w:val="20"/>
        </w:rPr>
      </w:pPr>
      <w:r w:rsidRPr="00226FA1">
        <w:rPr>
          <w:rFonts w:asciiTheme="majorHAnsi" w:eastAsiaTheme="minorHAnsi" w:hAnsiTheme="majorHAnsi" w:cstheme="majorHAnsi"/>
          <w:bCs/>
          <w:sz w:val="20"/>
          <w:szCs w:val="20"/>
        </w:rPr>
        <w:t xml:space="preserve">Routine revisions are planned, announced and performed regularly according to specified dates at monthly, quarterly and annual </w:t>
      </w:r>
      <w:r w:rsidR="007A2997">
        <w:rPr>
          <w:rFonts w:asciiTheme="majorHAnsi" w:eastAsiaTheme="minorHAnsi" w:hAnsiTheme="majorHAnsi" w:cstheme="majorHAnsi"/>
          <w:bCs/>
          <w:sz w:val="20"/>
          <w:szCs w:val="20"/>
        </w:rPr>
        <w:t>basis.</w:t>
      </w:r>
    </w:p>
    <w:p w14:paraId="3CFE51D7" w14:textId="0E8DAED5" w:rsidR="004560A2" w:rsidRDefault="008775ED" w:rsidP="006E289C">
      <w:pPr>
        <w:jc w:val="both"/>
        <w:rPr>
          <w:rFonts w:asciiTheme="majorHAnsi" w:eastAsiaTheme="minorHAnsi" w:hAnsiTheme="majorHAnsi" w:cstheme="majorHAnsi"/>
          <w:bCs/>
          <w:sz w:val="20"/>
          <w:szCs w:val="20"/>
        </w:rPr>
      </w:pPr>
      <w:r w:rsidRPr="00226FA1">
        <w:rPr>
          <w:rFonts w:asciiTheme="majorHAnsi" w:eastAsiaTheme="minorHAnsi" w:hAnsiTheme="majorHAnsi" w:cstheme="majorHAnsi"/>
          <w:bCs/>
          <w:sz w:val="20"/>
          <w:szCs w:val="20"/>
        </w:rPr>
        <w:t>These revisions are primarily oriented towards short-term statistics, which are more frequently subject to changes because of a shorter time interval between the period the data refer to and the date of their release. These revisions can also be performed in annual statistics.</w:t>
      </w:r>
    </w:p>
    <w:p w14:paraId="7F14544A" w14:textId="4326281B" w:rsidR="004560A2" w:rsidRPr="004560A2" w:rsidRDefault="00286904" w:rsidP="004560A2">
      <w:pPr>
        <w:jc w:val="center"/>
        <w:rPr>
          <w:rFonts w:asciiTheme="majorHAnsi" w:eastAsiaTheme="minorHAnsi" w:hAnsiTheme="majorHAnsi" w:cstheme="majorHAnsi"/>
          <w:b/>
          <w:bCs/>
          <w:sz w:val="20"/>
          <w:szCs w:val="20"/>
        </w:rPr>
      </w:pPr>
      <w:r w:rsidRPr="00226FA1">
        <w:rPr>
          <w:rFonts w:asciiTheme="majorHAnsi" w:hAnsiTheme="majorHAnsi" w:cstheme="majorHAnsi"/>
          <w:b/>
          <w:sz w:val="20"/>
          <w:szCs w:val="20"/>
        </w:rPr>
        <w:t>National accounts main aggregates, quarterly data</w:t>
      </w: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13"/>
        <w:gridCol w:w="1431"/>
        <w:gridCol w:w="1871"/>
        <w:gridCol w:w="1868"/>
        <w:gridCol w:w="1877"/>
      </w:tblGrid>
      <w:tr w:rsidR="00CD3DBB" w:rsidRPr="00226FA1" w14:paraId="77086056" w14:textId="77777777" w:rsidTr="00BF0746">
        <w:trPr>
          <w:trHeight w:val="416"/>
        </w:trPr>
        <w:tc>
          <w:tcPr>
            <w:tcW w:w="2376" w:type="dxa"/>
            <w:tcBorders>
              <w:top w:val="single" w:sz="8" w:space="0" w:color="auto"/>
              <w:bottom w:val="nil"/>
            </w:tcBorders>
            <w:shd w:val="clear" w:color="auto" w:fill="E2EFD9" w:themeFill="accent6" w:themeFillTint="33"/>
            <w:vAlign w:val="center"/>
          </w:tcPr>
          <w:p w14:paraId="4464B512" w14:textId="77777777" w:rsidR="00CD3DBB" w:rsidRPr="00226FA1" w:rsidRDefault="00CD3DBB" w:rsidP="008775ED">
            <w:pPr>
              <w:spacing w:before="240"/>
              <w:rPr>
                <w:rFonts w:ascii="Calibri" w:hAnsi="Calibri" w:cs="Calibri"/>
                <w:b/>
                <w:sz w:val="18"/>
                <w:szCs w:val="18"/>
              </w:rPr>
            </w:pPr>
          </w:p>
        </w:tc>
        <w:tc>
          <w:tcPr>
            <w:tcW w:w="7200" w:type="dxa"/>
            <w:gridSpan w:val="4"/>
            <w:tcBorders>
              <w:top w:val="single" w:sz="8" w:space="0" w:color="auto"/>
              <w:bottom w:val="nil"/>
            </w:tcBorders>
            <w:shd w:val="clear" w:color="auto" w:fill="E2EFD9" w:themeFill="accent6" w:themeFillTint="33"/>
            <w:vAlign w:val="center"/>
          </w:tcPr>
          <w:p w14:paraId="32C62864" w14:textId="5D681ADA" w:rsidR="00CD3DBB" w:rsidRPr="00226FA1" w:rsidRDefault="00CD3DBB" w:rsidP="008775ED">
            <w:pPr>
              <w:jc w:val="center"/>
              <w:rPr>
                <w:rFonts w:ascii="Calibri" w:hAnsi="Calibri" w:cs="Calibri"/>
                <w:b/>
                <w:sz w:val="18"/>
                <w:szCs w:val="18"/>
              </w:rPr>
            </w:pPr>
            <w:r>
              <w:rPr>
                <w:rFonts w:ascii="Calibri" w:hAnsi="Calibri" w:cs="Calibri"/>
                <w:b/>
                <w:sz w:val="18"/>
                <w:szCs w:val="18"/>
              </w:rPr>
              <w:t>Date of release</w:t>
            </w:r>
          </w:p>
        </w:tc>
      </w:tr>
      <w:tr w:rsidR="00C26B86" w:rsidRPr="00226FA1" w14:paraId="548DD96C" w14:textId="77777777" w:rsidTr="00BF0746">
        <w:trPr>
          <w:trHeight w:val="387"/>
        </w:trPr>
        <w:tc>
          <w:tcPr>
            <w:tcW w:w="2376" w:type="dxa"/>
            <w:tcBorders>
              <w:top w:val="nil"/>
              <w:bottom w:val="single" w:sz="8" w:space="0" w:color="A8D08D" w:themeColor="accent6" w:themeTint="99"/>
            </w:tcBorders>
            <w:shd w:val="clear" w:color="auto" w:fill="E2EFD9" w:themeFill="accent6" w:themeFillTint="33"/>
            <w:vAlign w:val="center"/>
          </w:tcPr>
          <w:p w14:paraId="5BE3703C" w14:textId="31D22CF1" w:rsidR="00CD3DBB" w:rsidRPr="00226FA1" w:rsidRDefault="00CD3DBB" w:rsidP="008A3384">
            <w:pPr>
              <w:jc w:val="center"/>
              <w:rPr>
                <w:rFonts w:ascii="Calibri" w:hAnsi="Calibri" w:cs="Calibri"/>
                <w:b/>
                <w:sz w:val="18"/>
                <w:szCs w:val="18"/>
              </w:rPr>
            </w:pPr>
            <w:r w:rsidRPr="00226FA1">
              <w:rPr>
                <w:rFonts w:ascii="Calibri" w:hAnsi="Calibri" w:cs="Calibri"/>
                <w:b/>
                <w:sz w:val="18"/>
                <w:szCs w:val="18"/>
              </w:rPr>
              <w:t xml:space="preserve">Year </w:t>
            </w:r>
            <w:r>
              <w:rPr>
                <w:rFonts w:ascii="Calibri" w:hAnsi="Calibri" w:cs="Calibri"/>
                <w:b/>
                <w:sz w:val="18"/>
                <w:szCs w:val="18"/>
              </w:rPr>
              <w:t>t</w:t>
            </w:r>
          </w:p>
        </w:tc>
        <w:tc>
          <w:tcPr>
            <w:tcW w:w="1455" w:type="dxa"/>
            <w:tcBorders>
              <w:top w:val="nil"/>
              <w:bottom w:val="single" w:sz="8" w:space="0" w:color="A8D08D" w:themeColor="accent6" w:themeTint="99"/>
            </w:tcBorders>
            <w:shd w:val="clear" w:color="auto" w:fill="E2EFD9" w:themeFill="accent6" w:themeFillTint="33"/>
            <w:vAlign w:val="center"/>
          </w:tcPr>
          <w:p w14:paraId="3F5594C0" w14:textId="00D8090E" w:rsidR="00921B49" w:rsidRPr="00226FA1" w:rsidRDefault="00C26B86" w:rsidP="00C26B86">
            <w:pPr>
              <w:jc w:val="center"/>
              <w:rPr>
                <w:rFonts w:ascii="Calibri" w:hAnsi="Calibri" w:cs="Calibri"/>
                <w:b/>
                <w:sz w:val="18"/>
                <w:szCs w:val="18"/>
              </w:rPr>
            </w:pPr>
            <w:r>
              <w:rPr>
                <w:rFonts w:ascii="Calibri" w:hAnsi="Calibri" w:cs="Calibri"/>
                <w:b/>
                <w:sz w:val="18"/>
                <w:szCs w:val="18"/>
              </w:rPr>
              <w:t>28/29 February</w:t>
            </w:r>
          </w:p>
        </w:tc>
        <w:tc>
          <w:tcPr>
            <w:tcW w:w="1915" w:type="dxa"/>
            <w:tcBorders>
              <w:top w:val="nil"/>
              <w:bottom w:val="single" w:sz="8" w:space="0" w:color="A8D08D" w:themeColor="accent6" w:themeTint="99"/>
            </w:tcBorders>
            <w:shd w:val="clear" w:color="auto" w:fill="E2EFD9" w:themeFill="accent6" w:themeFillTint="33"/>
            <w:vAlign w:val="center"/>
          </w:tcPr>
          <w:p w14:paraId="51385341" w14:textId="0B676B28" w:rsidR="00CD3DBB" w:rsidRPr="00226FA1" w:rsidRDefault="00C26B86" w:rsidP="008A3384">
            <w:pPr>
              <w:jc w:val="center"/>
              <w:rPr>
                <w:rFonts w:ascii="Calibri" w:hAnsi="Calibri" w:cs="Calibri"/>
                <w:b/>
                <w:sz w:val="18"/>
                <w:szCs w:val="18"/>
              </w:rPr>
            </w:pPr>
            <w:r>
              <w:rPr>
                <w:rFonts w:ascii="Calibri" w:hAnsi="Calibri" w:cs="Calibri"/>
                <w:b/>
                <w:sz w:val="18"/>
                <w:szCs w:val="18"/>
              </w:rPr>
              <w:t>31 May</w:t>
            </w:r>
          </w:p>
        </w:tc>
        <w:tc>
          <w:tcPr>
            <w:tcW w:w="1915" w:type="dxa"/>
            <w:tcBorders>
              <w:top w:val="nil"/>
              <w:bottom w:val="single" w:sz="8" w:space="0" w:color="A8D08D" w:themeColor="accent6" w:themeTint="99"/>
            </w:tcBorders>
            <w:shd w:val="clear" w:color="auto" w:fill="E2EFD9" w:themeFill="accent6" w:themeFillTint="33"/>
            <w:vAlign w:val="center"/>
          </w:tcPr>
          <w:p w14:paraId="78DEC5B8" w14:textId="078F1A3C" w:rsidR="00CD3DBB" w:rsidRPr="00226FA1" w:rsidRDefault="00C26B86" w:rsidP="00C26B86">
            <w:pPr>
              <w:jc w:val="center"/>
              <w:rPr>
                <w:rFonts w:ascii="Calibri" w:hAnsi="Calibri" w:cs="Calibri"/>
                <w:b/>
                <w:sz w:val="18"/>
                <w:szCs w:val="18"/>
              </w:rPr>
            </w:pPr>
            <w:r>
              <w:rPr>
                <w:rFonts w:ascii="Calibri" w:hAnsi="Calibri" w:cs="Calibri"/>
                <w:b/>
                <w:sz w:val="18"/>
                <w:szCs w:val="18"/>
              </w:rPr>
              <w:t>31 August</w:t>
            </w:r>
          </w:p>
        </w:tc>
        <w:tc>
          <w:tcPr>
            <w:tcW w:w="1915" w:type="dxa"/>
            <w:tcBorders>
              <w:top w:val="nil"/>
              <w:bottom w:val="single" w:sz="8" w:space="0" w:color="A8D08D" w:themeColor="accent6" w:themeTint="99"/>
            </w:tcBorders>
            <w:shd w:val="clear" w:color="auto" w:fill="E2EFD9" w:themeFill="accent6" w:themeFillTint="33"/>
            <w:vAlign w:val="center"/>
          </w:tcPr>
          <w:p w14:paraId="15540D45" w14:textId="623380BF" w:rsidR="00CD3DBB" w:rsidRPr="00226FA1" w:rsidRDefault="00C26B86" w:rsidP="00C26B86">
            <w:pPr>
              <w:jc w:val="center"/>
              <w:rPr>
                <w:rFonts w:ascii="Calibri" w:hAnsi="Calibri" w:cs="Calibri"/>
                <w:b/>
                <w:sz w:val="18"/>
                <w:szCs w:val="18"/>
              </w:rPr>
            </w:pPr>
            <w:r>
              <w:rPr>
                <w:rFonts w:ascii="Calibri" w:hAnsi="Calibri" w:cs="Calibri"/>
                <w:b/>
                <w:sz w:val="18"/>
                <w:szCs w:val="18"/>
              </w:rPr>
              <w:t>30 November</w:t>
            </w:r>
          </w:p>
        </w:tc>
      </w:tr>
      <w:tr w:rsidR="00CD3DBB" w:rsidRPr="00226FA1" w14:paraId="0FFB3A8B" w14:textId="77777777" w:rsidTr="00BF0746">
        <w:tc>
          <w:tcPr>
            <w:tcW w:w="9576" w:type="dxa"/>
            <w:gridSpan w:val="5"/>
            <w:tcBorders>
              <w:top w:val="single" w:sz="8" w:space="0" w:color="A8D08D" w:themeColor="accent6" w:themeTint="99"/>
              <w:bottom w:val="single" w:sz="8" w:space="0" w:color="A8D08D" w:themeColor="accent6" w:themeTint="99"/>
            </w:tcBorders>
            <w:shd w:val="clear" w:color="auto" w:fill="C5E0B3" w:themeFill="accent6" w:themeFillTint="66"/>
            <w:vAlign w:val="center"/>
          </w:tcPr>
          <w:p w14:paraId="1764C58C" w14:textId="635DCA74" w:rsidR="00CD3DBB" w:rsidRPr="00226FA1" w:rsidRDefault="0069209E" w:rsidP="0069209E">
            <w:pPr>
              <w:jc w:val="center"/>
              <w:rPr>
                <w:rFonts w:ascii="Calibri" w:hAnsi="Calibri" w:cs="Calibri"/>
                <w:b/>
                <w:sz w:val="18"/>
                <w:szCs w:val="18"/>
              </w:rPr>
            </w:pPr>
            <w:r>
              <w:rPr>
                <w:rFonts w:ascii="Calibri" w:hAnsi="Calibri" w:cs="Calibri"/>
                <w:b/>
                <w:sz w:val="18"/>
                <w:szCs w:val="18"/>
              </w:rPr>
              <w:t>Non-s</w:t>
            </w:r>
            <w:r w:rsidRPr="00226FA1">
              <w:rPr>
                <w:rFonts w:ascii="Calibri" w:hAnsi="Calibri" w:cs="Calibri"/>
                <w:b/>
                <w:sz w:val="18"/>
                <w:szCs w:val="18"/>
              </w:rPr>
              <w:t>easonally adjusted data</w:t>
            </w:r>
          </w:p>
        </w:tc>
      </w:tr>
      <w:tr w:rsidR="00C26B86" w:rsidRPr="00226FA1" w14:paraId="09500DC3" w14:textId="77777777" w:rsidTr="007B0F00">
        <w:tc>
          <w:tcPr>
            <w:tcW w:w="2376" w:type="dxa"/>
            <w:tcBorders>
              <w:top w:val="single" w:sz="4" w:space="0" w:color="auto"/>
              <w:bottom w:val="single" w:sz="8" w:space="0" w:color="A8D08D" w:themeColor="accent6" w:themeTint="99"/>
            </w:tcBorders>
            <w:vAlign w:val="center"/>
          </w:tcPr>
          <w:p w14:paraId="3401A031" w14:textId="77777777" w:rsidR="00CD3DBB" w:rsidRPr="00226FA1" w:rsidRDefault="00CD3DBB" w:rsidP="00CD3DBB">
            <w:pPr>
              <w:rPr>
                <w:rFonts w:ascii="Calibri" w:hAnsi="Calibri" w:cs="Calibri"/>
                <w:b/>
                <w:sz w:val="18"/>
                <w:szCs w:val="18"/>
              </w:rPr>
            </w:pPr>
            <w:r w:rsidRPr="00226FA1">
              <w:rPr>
                <w:rFonts w:ascii="Calibri" w:hAnsi="Calibri" w:cs="Calibri"/>
                <w:b/>
                <w:sz w:val="18"/>
                <w:szCs w:val="18"/>
              </w:rPr>
              <w:t>Latest quarter available</w:t>
            </w:r>
          </w:p>
        </w:tc>
        <w:tc>
          <w:tcPr>
            <w:tcW w:w="1455" w:type="dxa"/>
            <w:tcBorders>
              <w:top w:val="single" w:sz="8" w:space="0" w:color="A8D08D" w:themeColor="accent6" w:themeTint="99"/>
              <w:bottom w:val="single" w:sz="8" w:space="0" w:color="A8D08D" w:themeColor="accent6" w:themeTint="99"/>
            </w:tcBorders>
            <w:vAlign w:val="center"/>
          </w:tcPr>
          <w:p w14:paraId="3D6B4C65" w14:textId="2D35BC35" w:rsidR="00CD3DBB" w:rsidRPr="00226FA1" w:rsidRDefault="00CD3DBB" w:rsidP="00CD3DBB">
            <w:pPr>
              <w:jc w:val="center"/>
              <w:rPr>
                <w:rFonts w:ascii="Calibri" w:hAnsi="Calibri" w:cs="Calibri"/>
                <w:sz w:val="18"/>
                <w:szCs w:val="18"/>
              </w:rPr>
            </w:pPr>
            <w:r w:rsidRPr="00226FA1">
              <w:rPr>
                <w:rFonts w:ascii="Calibri" w:hAnsi="Calibri" w:cs="Calibri"/>
                <w:sz w:val="18"/>
                <w:szCs w:val="18"/>
              </w:rPr>
              <w:t xml:space="preserve">Year </w:t>
            </w:r>
            <w:r>
              <w:rPr>
                <w:rFonts w:ascii="Calibri" w:hAnsi="Calibri" w:cs="Calibri"/>
                <w:sz w:val="18"/>
                <w:szCs w:val="18"/>
              </w:rPr>
              <w:t>t</w:t>
            </w:r>
            <w:r w:rsidRPr="00226FA1">
              <w:rPr>
                <w:rFonts w:ascii="Calibri" w:hAnsi="Calibri" w:cs="Calibri"/>
                <w:sz w:val="18"/>
                <w:szCs w:val="18"/>
              </w:rPr>
              <w:t>-1, Q4</w:t>
            </w:r>
          </w:p>
        </w:tc>
        <w:tc>
          <w:tcPr>
            <w:tcW w:w="1915" w:type="dxa"/>
            <w:tcBorders>
              <w:top w:val="single" w:sz="8" w:space="0" w:color="A8D08D" w:themeColor="accent6" w:themeTint="99"/>
              <w:bottom w:val="single" w:sz="8" w:space="0" w:color="A8D08D" w:themeColor="accent6" w:themeTint="99"/>
            </w:tcBorders>
            <w:vAlign w:val="center"/>
          </w:tcPr>
          <w:p w14:paraId="585E9B4D" w14:textId="5BAE8B4B" w:rsidR="00CD3DBB" w:rsidRPr="00226FA1" w:rsidRDefault="00CD3DBB" w:rsidP="00CD3DBB">
            <w:pPr>
              <w:jc w:val="center"/>
              <w:rPr>
                <w:rFonts w:ascii="Calibri" w:hAnsi="Calibri" w:cs="Calibri"/>
                <w:sz w:val="18"/>
                <w:szCs w:val="18"/>
              </w:rPr>
            </w:pPr>
            <w:r w:rsidRPr="00226FA1">
              <w:rPr>
                <w:rFonts w:ascii="Calibri" w:hAnsi="Calibri" w:cs="Calibri"/>
                <w:sz w:val="18"/>
                <w:szCs w:val="18"/>
              </w:rPr>
              <w:t xml:space="preserve">Year </w:t>
            </w:r>
            <w:r>
              <w:rPr>
                <w:rFonts w:ascii="Calibri" w:hAnsi="Calibri" w:cs="Calibri"/>
                <w:sz w:val="18"/>
                <w:szCs w:val="18"/>
              </w:rPr>
              <w:t>t</w:t>
            </w:r>
            <w:r w:rsidRPr="00226FA1">
              <w:rPr>
                <w:rFonts w:ascii="Calibri" w:hAnsi="Calibri" w:cs="Calibri"/>
                <w:sz w:val="18"/>
                <w:szCs w:val="18"/>
              </w:rPr>
              <w:t>, Q1</w:t>
            </w:r>
          </w:p>
        </w:tc>
        <w:tc>
          <w:tcPr>
            <w:tcW w:w="1915" w:type="dxa"/>
            <w:tcBorders>
              <w:top w:val="single" w:sz="8" w:space="0" w:color="A8D08D" w:themeColor="accent6" w:themeTint="99"/>
              <w:bottom w:val="single" w:sz="8" w:space="0" w:color="A8D08D" w:themeColor="accent6" w:themeTint="99"/>
            </w:tcBorders>
            <w:vAlign w:val="center"/>
          </w:tcPr>
          <w:p w14:paraId="4078C64B" w14:textId="3FA1B045" w:rsidR="00CD3DBB" w:rsidRPr="00226FA1" w:rsidRDefault="00CD3DBB" w:rsidP="00CD3DBB">
            <w:pPr>
              <w:jc w:val="center"/>
              <w:rPr>
                <w:rFonts w:ascii="Calibri" w:hAnsi="Calibri" w:cs="Calibri"/>
                <w:sz w:val="18"/>
                <w:szCs w:val="18"/>
              </w:rPr>
            </w:pPr>
            <w:r w:rsidRPr="00226FA1">
              <w:rPr>
                <w:rFonts w:ascii="Calibri" w:hAnsi="Calibri" w:cs="Calibri"/>
                <w:sz w:val="18"/>
                <w:szCs w:val="18"/>
              </w:rPr>
              <w:t xml:space="preserve">Year </w:t>
            </w:r>
            <w:r>
              <w:rPr>
                <w:rFonts w:ascii="Calibri" w:hAnsi="Calibri" w:cs="Calibri"/>
                <w:sz w:val="18"/>
                <w:szCs w:val="18"/>
              </w:rPr>
              <w:t>t</w:t>
            </w:r>
            <w:r w:rsidRPr="00226FA1">
              <w:rPr>
                <w:rFonts w:ascii="Calibri" w:hAnsi="Calibri" w:cs="Calibri"/>
                <w:sz w:val="18"/>
                <w:szCs w:val="18"/>
              </w:rPr>
              <w:t>, Q2</w:t>
            </w:r>
          </w:p>
        </w:tc>
        <w:tc>
          <w:tcPr>
            <w:tcW w:w="1915" w:type="dxa"/>
            <w:tcBorders>
              <w:top w:val="single" w:sz="4" w:space="0" w:color="auto"/>
              <w:bottom w:val="single" w:sz="8" w:space="0" w:color="A8D08D" w:themeColor="accent6" w:themeTint="99"/>
            </w:tcBorders>
            <w:vAlign w:val="center"/>
          </w:tcPr>
          <w:p w14:paraId="745C059B" w14:textId="43F303F9" w:rsidR="00CD3DBB" w:rsidRPr="00226FA1" w:rsidRDefault="00CD3DBB" w:rsidP="00CD3DBB">
            <w:pPr>
              <w:jc w:val="center"/>
              <w:rPr>
                <w:rFonts w:ascii="Calibri" w:hAnsi="Calibri" w:cs="Calibri"/>
                <w:sz w:val="18"/>
                <w:szCs w:val="18"/>
              </w:rPr>
            </w:pPr>
            <w:r w:rsidRPr="00226FA1">
              <w:rPr>
                <w:rFonts w:ascii="Calibri" w:hAnsi="Calibri" w:cs="Calibri"/>
                <w:sz w:val="18"/>
                <w:szCs w:val="18"/>
              </w:rPr>
              <w:t xml:space="preserve">Year </w:t>
            </w:r>
            <w:r>
              <w:rPr>
                <w:rFonts w:ascii="Calibri" w:hAnsi="Calibri" w:cs="Calibri"/>
                <w:sz w:val="18"/>
                <w:szCs w:val="18"/>
              </w:rPr>
              <w:t>t</w:t>
            </w:r>
            <w:r w:rsidRPr="00226FA1">
              <w:rPr>
                <w:rFonts w:ascii="Calibri" w:hAnsi="Calibri" w:cs="Calibri"/>
                <w:sz w:val="18"/>
                <w:szCs w:val="18"/>
              </w:rPr>
              <w:t>, Q3</w:t>
            </w:r>
          </w:p>
        </w:tc>
      </w:tr>
      <w:tr w:rsidR="00C26B86" w:rsidRPr="00226FA1" w14:paraId="171664DE" w14:textId="77777777" w:rsidTr="007B0F00">
        <w:trPr>
          <w:trHeight w:val="1072"/>
        </w:trPr>
        <w:tc>
          <w:tcPr>
            <w:tcW w:w="2376" w:type="dxa"/>
            <w:tcBorders>
              <w:top w:val="single" w:sz="8" w:space="0" w:color="A8D08D" w:themeColor="accent6" w:themeTint="99"/>
            </w:tcBorders>
            <w:vAlign w:val="center"/>
          </w:tcPr>
          <w:p w14:paraId="5F2CAE75" w14:textId="77777777" w:rsidR="00CD3DBB" w:rsidRPr="00226FA1" w:rsidRDefault="00CD3DBB" w:rsidP="00D35D21">
            <w:pPr>
              <w:jc w:val="both"/>
              <w:rPr>
                <w:rFonts w:ascii="Calibri" w:hAnsi="Calibri" w:cs="Calibri"/>
                <w:sz w:val="18"/>
                <w:szCs w:val="18"/>
              </w:rPr>
            </w:pPr>
            <w:r w:rsidRPr="00226FA1">
              <w:rPr>
                <w:rFonts w:ascii="Calibri" w:hAnsi="Calibri" w:cs="Calibri"/>
                <w:b/>
                <w:sz w:val="18"/>
                <w:szCs w:val="18"/>
              </w:rPr>
              <w:t>Depth of revisions (max)</w:t>
            </w:r>
          </w:p>
        </w:tc>
        <w:tc>
          <w:tcPr>
            <w:tcW w:w="1455" w:type="dxa"/>
            <w:tcBorders>
              <w:top w:val="single" w:sz="8" w:space="0" w:color="A8D08D" w:themeColor="accent6" w:themeTint="99"/>
              <w:bottom w:val="single" w:sz="8" w:space="0" w:color="A8D08D" w:themeColor="accent6" w:themeTint="99"/>
            </w:tcBorders>
            <w:vAlign w:val="center"/>
          </w:tcPr>
          <w:p w14:paraId="502D9652" w14:textId="77777777" w:rsidR="00CD3DBB" w:rsidRPr="00226FA1" w:rsidRDefault="00CD3DBB" w:rsidP="00CD3DBB">
            <w:pPr>
              <w:jc w:val="center"/>
              <w:rPr>
                <w:rFonts w:ascii="Calibri" w:hAnsi="Calibri" w:cs="Calibri"/>
                <w:sz w:val="18"/>
                <w:szCs w:val="18"/>
              </w:rPr>
            </w:pPr>
          </w:p>
          <w:p w14:paraId="7FEC9D21" w14:textId="77777777" w:rsidR="00CD3DBB" w:rsidRPr="00226FA1" w:rsidRDefault="00CD3DBB" w:rsidP="00CD3DBB">
            <w:pPr>
              <w:jc w:val="center"/>
              <w:rPr>
                <w:rFonts w:ascii="Calibri" w:hAnsi="Calibri" w:cs="Calibri"/>
                <w:b/>
                <w:sz w:val="18"/>
                <w:szCs w:val="18"/>
              </w:rPr>
            </w:pPr>
            <w:r w:rsidRPr="00226FA1">
              <w:rPr>
                <w:rFonts w:ascii="Calibri" w:hAnsi="Calibri" w:cs="Calibri"/>
                <w:b/>
                <w:sz w:val="18"/>
                <w:szCs w:val="18"/>
              </w:rPr>
              <w:t>3 quarters</w:t>
            </w:r>
          </w:p>
          <w:p w14:paraId="3354F6EC" w14:textId="77777777" w:rsidR="00CD3DBB" w:rsidRPr="00226FA1" w:rsidRDefault="00CD3DBB" w:rsidP="00CD3DBB">
            <w:pPr>
              <w:rPr>
                <w:rFonts w:ascii="Calibri" w:hAnsi="Calibri" w:cs="Calibri"/>
                <w:sz w:val="18"/>
                <w:szCs w:val="18"/>
              </w:rPr>
            </w:pPr>
          </w:p>
          <w:p w14:paraId="5D917FFE" w14:textId="102EA126" w:rsidR="00CD3DBB" w:rsidRPr="00226FA1" w:rsidRDefault="00CD3DBB" w:rsidP="00CD3DBB">
            <w:pPr>
              <w:rPr>
                <w:rFonts w:ascii="Calibri" w:hAnsi="Calibri" w:cs="Calibri"/>
                <w:sz w:val="18"/>
                <w:szCs w:val="18"/>
              </w:rPr>
            </w:pPr>
            <w:r w:rsidRPr="00226FA1">
              <w:rPr>
                <w:rFonts w:ascii="Calibri" w:hAnsi="Calibri" w:cs="Calibri"/>
                <w:sz w:val="18"/>
                <w:szCs w:val="18"/>
              </w:rPr>
              <w:t xml:space="preserve">Year </w:t>
            </w:r>
            <w:r>
              <w:rPr>
                <w:rFonts w:ascii="Calibri" w:hAnsi="Calibri" w:cs="Calibri"/>
                <w:sz w:val="18"/>
                <w:szCs w:val="18"/>
              </w:rPr>
              <w:t>t</w:t>
            </w:r>
            <w:r w:rsidRPr="00226FA1">
              <w:rPr>
                <w:rFonts w:ascii="Calibri" w:hAnsi="Calibri" w:cs="Calibri"/>
                <w:sz w:val="18"/>
                <w:szCs w:val="18"/>
              </w:rPr>
              <w:t>-1, Q1-Q3</w:t>
            </w:r>
          </w:p>
          <w:p w14:paraId="31E81F52" w14:textId="77777777" w:rsidR="00CD3DBB" w:rsidRPr="00226FA1" w:rsidRDefault="00CD3DBB" w:rsidP="00CD3DBB">
            <w:pPr>
              <w:rPr>
                <w:rFonts w:ascii="Calibri" w:hAnsi="Calibri" w:cs="Calibri"/>
                <w:sz w:val="18"/>
                <w:szCs w:val="18"/>
              </w:rPr>
            </w:pPr>
          </w:p>
          <w:p w14:paraId="310663C8" w14:textId="77777777" w:rsidR="00CD3DBB" w:rsidRPr="00226FA1" w:rsidRDefault="00CD3DBB" w:rsidP="00CD3DBB">
            <w:pPr>
              <w:rPr>
                <w:rFonts w:ascii="Calibri" w:hAnsi="Calibri" w:cs="Calibri"/>
                <w:sz w:val="18"/>
                <w:szCs w:val="18"/>
              </w:rPr>
            </w:pPr>
            <w:r w:rsidRPr="00226FA1">
              <w:rPr>
                <w:rFonts w:ascii="Calibri" w:hAnsi="Calibri" w:cs="Calibri"/>
                <w:sz w:val="18"/>
                <w:szCs w:val="18"/>
              </w:rPr>
              <w:t xml:space="preserve"> </w:t>
            </w:r>
          </w:p>
          <w:p w14:paraId="5D2EC513" w14:textId="77777777" w:rsidR="00CD3DBB" w:rsidRPr="00226FA1" w:rsidRDefault="00CD3DBB" w:rsidP="00CD3DBB">
            <w:pPr>
              <w:jc w:val="center"/>
              <w:rPr>
                <w:rFonts w:ascii="Calibri" w:hAnsi="Calibri" w:cs="Calibri"/>
                <w:sz w:val="18"/>
                <w:szCs w:val="18"/>
              </w:rPr>
            </w:pPr>
          </w:p>
        </w:tc>
        <w:tc>
          <w:tcPr>
            <w:tcW w:w="1915" w:type="dxa"/>
            <w:tcBorders>
              <w:top w:val="single" w:sz="8" w:space="0" w:color="A8D08D" w:themeColor="accent6" w:themeTint="99"/>
              <w:bottom w:val="single" w:sz="8" w:space="0" w:color="A8D08D" w:themeColor="accent6" w:themeTint="99"/>
            </w:tcBorders>
            <w:vAlign w:val="center"/>
          </w:tcPr>
          <w:p w14:paraId="664B4670" w14:textId="77777777" w:rsidR="00CD3DBB" w:rsidRPr="00226FA1" w:rsidRDefault="00CD3DBB" w:rsidP="00CD3DBB">
            <w:pPr>
              <w:jc w:val="center"/>
              <w:rPr>
                <w:rFonts w:ascii="Calibri" w:hAnsi="Calibri" w:cs="Calibri"/>
                <w:b/>
                <w:sz w:val="18"/>
                <w:szCs w:val="18"/>
              </w:rPr>
            </w:pPr>
            <w:r w:rsidRPr="00226FA1">
              <w:rPr>
                <w:rFonts w:ascii="Calibri" w:hAnsi="Calibri" w:cs="Calibri"/>
                <w:b/>
                <w:sz w:val="18"/>
                <w:szCs w:val="18"/>
              </w:rPr>
              <w:t>8 quarters</w:t>
            </w:r>
          </w:p>
          <w:p w14:paraId="70DA1D09" w14:textId="77777777" w:rsidR="00CD3DBB" w:rsidRPr="00226FA1" w:rsidRDefault="00CD3DBB" w:rsidP="00CD3DBB">
            <w:pPr>
              <w:jc w:val="center"/>
              <w:rPr>
                <w:rFonts w:ascii="Calibri" w:hAnsi="Calibri" w:cs="Calibri"/>
                <w:sz w:val="18"/>
                <w:szCs w:val="18"/>
              </w:rPr>
            </w:pPr>
          </w:p>
          <w:p w14:paraId="7A98E71D" w14:textId="61F555D5" w:rsidR="00CD3DBB" w:rsidRPr="00226FA1" w:rsidRDefault="00CD3DBB" w:rsidP="00CD3DBB">
            <w:pPr>
              <w:jc w:val="center"/>
              <w:rPr>
                <w:rFonts w:ascii="Calibri" w:hAnsi="Calibri" w:cs="Calibri"/>
                <w:sz w:val="18"/>
                <w:szCs w:val="18"/>
              </w:rPr>
            </w:pPr>
            <w:r w:rsidRPr="00226FA1">
              <w:rPr>
                <w:rFonts w:ascii="Calibri" w:hAnsi="Calibri" w:cs="Calibri"/>
                <w:sz w:val="18"/>
                <w:szCs w:val="18"/>
              </w:rPr>
              <w:t xml:space="preserve">Year </w:t>
            </w:r>
            <w:r>
              <w:rPr>
                <w:rFonts w:ascii="Calibri" w:hAnsi="Calibri" w:cs="Calibri"/>
                <w:sz w:val="18"/>
                <w:szCs w:val="18"/>
              </w:rPr>
              <w:t>t</w:t>
            </w:r>
            <w:r w:rsidRPr="00226FA1">
              <w:rPr>
                <w:rFonts w:ascii="Calibri" w:hAnsi="Calibri" w:cs="Calibri"/>
                <w:sz w:val="18"/>
                <w:szCs w:val="18"/>
              </w:rPr>
              <w:t>-1, Q1–Q4</w:t>
            </w:r>
          </w:p>
          <w:p w14:paraId="56E745AF" w14:textId="73FD7213" w:rsidR="00CD3DBB" w:rsidRPr="00226FA1" w:rsidRDefault="00CD3DBB" w:rsidP="00CD3DBB">
            <w:pPr>
              <w:jc w:val="center"/>
              <w:rPr>
                <w:rFonts w:ascii="Calibri" w:hAnsi="Calibri" w:cs="Calibri"/>
                <w:sz w:val="18"/>
                <w:szCs w:val="18"/>
              </w:rPr>
            </w:pPr>
            <w:r w:rsidRPr="00226FA1">
              <w:rPr>
                <w:rFonts w:ascii="Calibri" w:hAnsi="Calibri" w:cs="Calibri"/>
                <w:sz w:val="18"/>
                <w:szCs w:val="18"/>
              </w:rPr>
              <w:t xml:space="preserve">Year </w:t>
            </w:r>
            <w:r>
              <w:rPr>
                <w:rFonts w:ascii="Calibri" w:hAnsi="Calibri" w:cs="Calibri"/>
                <w:sz w:val="18"/>
                <w:szCs w:val="18"/>
              </w:rPr>
              <w:t>t</w:t>
            </w:r>
            <w:r w:rsidRPr="00226FA1">
              <w:rPr>
                <w:rFonts w:ascii="Calibri" w:hAnsi="Calibri" w:cs="Calibri"/>
                <w:sz w:val="18"/>
                <w:szCs w:val="18"/>
              </w:rPr>
              <w:t>-2, Q1–Q4</w:t>
            </w:r>
          </w:p>
          <w:p w14:paraId="0169380C" w14:textId="77777777" w:rsidR="00CD3DBB" w:rsidRPr="00226FA1" w:rsidRDefault="00CD3DBB" w:rsidP="00CD3DBB">
            <w:pPr>
              <w:jc w:val="center"/>
              <w:rPr>
                <w:rFonts w:ascii="Calibri" w:hAnsi="Calibri" w:cs="Calibri"/>
                <w:sz w:val="18"/>
                <w:szCs w:val="18"/>
              </w:rPr>
            </w:pPr>
          </w:p>
        </w:tc>
        <w:tc>
          <w:tcPr>
            <w:tcW w:w="1915" w:type="dxa"/>
            <w:tcBorders>
              <w:top w:val="single" w:sz="8" w:space="0" w:color="A8D08D" w:themeColor="accent6" w:themeTint="99"/>
              <w:bottom w:val="single" w:sz="8" w:space="0" w:color="A8D08D" w:themeColor="accent6" w:themeTint="99"/>
            </w:tcBorders>
            <w:vAlign w:val="center"/>
          </w:tcPr>
          <w:p w14:paraId="3C97E64C" w14:textId="0F87A97E" w:rsidR="00CD3DBB" w:rsidRPr="00226FA1" w:rsidRDefault="00CD3DBB" w:rsidP="00CD3DBB">
            <w:pPr>
              <w:jc w:val="center"/>
              <w:rPr>
                <w:rFonts w:ascii="Calibri" w:hAnsi="Calibri" w:cs="Calibri"/>
                <w:b/>
                <w:sz w:val="18"/>
                <w:szCs w:val="18"/>
              </w:rPr>
            </w:pPr>
            <w:r w:rsidRPr="00226FA1">
              <w:rPr>
                <w:rFonts w:ascii="Calibri" w:hAnsi="Calibri" w:cs="Calibri"/>
                <w:b/>
                <w:sz w:val="18"/>
                <w:szCs w:val="18"/>
              </w:rPr>
              <w:t>1 quarter</w:t>
            </w:r>
          </w:p>
          <w:p w14:paraId="2A6AC575" w14:textId="77777777" w:rsidR="00CD3DBB" w:rsidRPr="00226FA1" w:rsidRDefault="00CD3DBB" w:rsidP="00CD3DBB">
            <w:pPr>
              <w:jc w:val="center"/>
              <w:rPr>
                <w:rFonts w:ascii="Calibri" w:hAnsi="Calibri" w:cs="Calibri"/>
                <w:sz w:val="18"/>
                <w:szCs w:val="18"/>
              </w:rPr>
            </w:pPr>
          </w:p>
          <w:p w14:paraId="5D25E242" w14:textId="1C023A2F" w:rsidR="00CD3DBB" w:rsidRPr="00226FA1" w:rsidRDefault="00CD3DBB" w:rsidP="00CD3DBB">
            <w:pPr>
              <w:jc w:val="center"/>
              <w:rPr>
                <w:rFonts w:ascii="Calibri" w:hAnsi="Calibri" w:cs="Calibri"/>
                <w:sz w:val="18"/>
                <w:szCs w:val="18"/>
              </w:rPr>
            </w:pPr>
            <w:r w:rsidRPr="00226FA1">
              <w:rPr>
                <w:rFonts w:ascii="Calibri" w:hAnsi="Calibri" w:cs="Calibri"/>
                <w:sz w:val="18"/>
                <w:szCs w:val="18"/>
              </w:rPr>
              <w:t xml:space="preserve">Year </w:t>
            </w:r>
            <w:r>
              <w:rPr>
                <w:rFonts w:ascii="Calibri" w:hAnsi="Calibri" w:cs="Calibri"/>
                <w:sz w:val="18"/>
                <w:szCs w:val="18"/>
              </w:rPr>
              <w:t>t</w:t>
            </w:r>
            <w:r w:rsidRPr="00226FA1">
              <w:rPr>
                <w:rFonts w:ascii="Calibri" w:hAnsi="Calibri" w:cs="Calibri"/>
                <w:sz w:val="18"/>
                <w:szCs w:val="18"/>
              </w:rPr>
              <w:t>, Q1</w:t>
            </w:r>
          </w:p>
          <w:p w14:paraId="1165E621" w14:textId="77777777" w:rsidR="00CD3DBB" w:rsidRPr="00226FA1" w:rsidRDefault="00CD3DBB" w:rsidP="00CD3DBB">
            <w:pPr>
              <w:jc w:val="center"/>
              <w:rPr>
                <w:rFonts w:ascii="Calibri" w:hAnsi="Calibri" w:cs="Calibri"/>
                <w:sz w:val="18"/>
                <w:szCs w:val="18"/>
              </w:rPr>
            </w:pPr>
          </w:p>
          <w:p w14:paraId="0D3A45E6" w14:textId="77777777" w:rsidR="00CD3DBB" w:rsidRPr="00226FA1" w:rsidRDefault="00CD3DBB" w:rsidP="00CD3DBB">
            <w:pPr>
              <w:jc w:val="center"/>
              <w:rPr>
                <w:rFonts w:ascii="Calibri" w:hAnsi="Calibri" w:cs="Calibri"/>
                <w:sz w:val="18"/>
                <w:szCs w:val="18"/>
              </w:rPr>
            </w:pPr>
          </w:p>
        </w:tc>
        <w:tc>
          <w:tcPr>
            <w:tcW w:w="1915" w:type="dxa"/>
            <w:tcBorders>
              <w:top w:val="single" w:sz="8" w:space="0" w:color="A8D08D" w:themeColor="accent6" w:themeTint="99"/>
            </w:tcBorders>
            <w:vAlign w:val="center"/>
          </w:tcPr>
          <w:p w14:paraId="0F984E17" w14:textId="77777777" w:rsidR="00CD3DBB" w:rsidRPr="00226FA1" w:rsidRDefault="00CD3DBB" w:rsidP="00CD3DBB">
            <w:pPr>
              <w:jc w:val="center"/>
              <w:rPr>
                <w:rFonts w:ascii="Calibri" w:hAnsi="Calibri" w:cs="Calibri"/>
                <w:b/>
                <w:sz w:val="18"/>
                <w:szCs w:val="18"/>
              </w:rPr>
            </w:pPr>
            <w:r w:rsidRPr="00226FA1">
              <w:rPr>
                <w:rFonts w:ascii="Calibri" w:hAnsi="Calibri" w:cs="Calibri"/>
                <w:b/>
                <w:sz w:val="18"/>
                <w:szCs w:val="18"/>
              </w:rPr>
              <w:t>10 quarters</w:t>
            </w:r>
          </w:p>
          <w:p w14:paraId="60F89169" w14:textId="77777777" w:rsidR="00CD3DBB" w:rsidRPr="00226FA1" w:rsidRDefault="00CD3DBB" w:rsidP="00CD3DBB">
            <w:pPr>
              <w:jc w:val="center"/>
              <w:rPr>
                <w:rFonts w:ascii="Calibri" w:hAnsi="Calibri" w:cs="Calibri"/>
                <w:sz w:val="18"/>
                <w:szCs w:val="18"/>
              </w:rPr>
            </w:pPr>
          </w:p>
          <w:p w14:paraId="3AEF46CE" w14:textId="61157F3A" w:rsidR="00CD3DBB" w:rsidRPr="00226FA1" w:rsidRDefault="00CD3DBB" w:rsidP="00CD3DBB">
            <w:pPr>
              <w:jc w:val="center"/>
              <w:rPr>
                <w:rFonts w:ascii="Calibri" w:hAnsi="Calibri" w:cs="Calibri"/>
                <w:sz w:val="18"/>
                <w:szCs w:val="18"/>
              </w:rPr>
            </w:pPr>
            <w:r w:rsidRPr="00226FA1">
              <w:rPr>
                <w:rFonts w:ascii="Calibri" w:hAnsi="Calibri" w:cs="Calibri"/>
                <w:sz w:val="18"/>
                <w:szCs w:val="18"/>
              </w:rPr>
              <w:t xml:space="preserve">Year </w:t>
            </w:r>
            <w:r>
              <w:rPr>
                <w:rFonts w:ascii="Calibri" w:hAnsi="Calibri" w:cs="Calibri"/>
                <w:sz w:val="18"/>
                <w:szCs w:val="18"/>
              </w:rPr>
              <w:t>t</w:t>
            </w:r>
            <w:r w:rsidRPr="00226FA1">
              <w:rPr>
                <w:rFonts w:ascii="Calibri" w:hAnsi="Calibri" w:cs="Calibri"/>
                <w:sz w:val="18"/>
                <w:szCs w:val="18"/>
              </w:rPr>
              <w:t>, Q1–Q2</w:t>
            </w:r>
          </w:p>
          <w:p w14:paraId="087C28A0" w14:textId="0E7B5864" w:rsidR="00CD3DBB" w:rsidRPr="00226FA1" w:rsidRDefault="00CD3DBB" w:rsidP="00CD3DBB">
            <w:pPr>
              <w:jc w:val="center"/>
              <w:rPr>
                <w:rFonts w:ascii="Calibri" w:hAnsi="Calibri" w:cs="Calibri"/>
                <w:sz w:val="18"/>
                <w:szCs w:val="18"/>
              </w:rPr>
            </w:pPr>
            <w:r w:rsidRPr="00226FA1">
              <w:rPr>
                <w:rFonts w:ascii="Calibri" w:hAnsi="Calibri" w:cs="Calibri"/>
                <w:sz w:val="18"/>
                <w:szCs w:val="18"/>
              </w:rPr>
              <w:t xml:space="preserve">Year </w:t>
            </w:r>
            <w:r>
              <w:rPr>
                <w:rFonts w:ascii="Calibri" w:hAnsi="Calibri" w:cs="Calibri"/>
                <w:sz w:val="18"/>
                <w:szCs w:val="18"/>
              </w:rPr>
              <w:t>t</w:t>
            </w:r>
            <w:r w:rsidRPr="00226FA1">
              <w:rPr>
                <w:rFonts w:ascii="Calibri" w:hAnsi="Calibri" w:cs="Calibri"/>
                <w:sz w:val="18"/>
                <w:szCs w:val="18"/>
              </w:rPr>
              <w:t>-1, Q1–Q4</w:t>
            </w:r>
          </w:p>
          <w:p w14:paraId="1E2F4929" w14:textId="1F3B1694" w:rsidR="00CD3DBB" w:rsidRPr="00226FA1" w:rsidRDefault="00CD3DBB" w:rsidP="00CD3DBB">
            <w:pPr>
              <w:jc w:val="center"/>
              <w:rPr>
                <w:rFonts w:ascii="Calibri" w:hAnsi="Calibri" w:cs="Calibri"/>
                <w:sz w:val="18"/>
                <w:szCs w:val="18"/>
              </w:rPr>
            </w:pPr>
            <w:r w:rsidRPr="00226FA1">
              <w:rPr>
                <w:rFonts w:ascii="Calibri" w:hAnsi="Calibri" w:cs="Calibri"/>
                <w:sz w:val="18"/>
                <w:szCs w:val="18"/>
              </w:rPr>
              <w:t xml:space="preserve">Year </w:t>
            </w:r>
            <w:r>
              <w:rPr>
                <w:rFonts w:ascii="Calibri" w:hAnsi="Calibri" w:cs="Calibri"/>
                <w:sz w:val="18"/>
                <w:szCs w:val="18"/>
              </w:rPr>
              <w:t>t</w:t>
            </w:r>
            <w:r w:rsidRPr="00226FA1">
              <w:rPr>
                <w:rFonts w:ascii="Calibri" w:hAnsi="Calibri" w:cs="Calibri"/>
                <w:sz w:val="18"/>
                <w:szCs w:val="18"/>
              </w:rPr>
              <w:t>-2, Q1–Q4</w:t>
            </w:r>
          </w:p>
        </w:tc>
      </w:tr>
      <w:tr w:rsidR="0069209E" w:rsidRPr="00226FA1" w14:paraId="75AB9ABB" w14:textId="77777777" w:rsidTr="00BF0746">
        <w:trPr>
          <w:trHeight w:val="242"/>
        </w:trPr>
        <w:tc>
          <w:tcPr>
            <w:tcW w:w="9576" w:type="dxa"/>
            <w:gridSpan w:val="5"/>
            <w:tcBorders>
              <w:top w:val="single" w:sz="8" w:space="0" w:color="A8D08D" w:themeColor="accent6" w:themeTint="99"/>
              <w:bottom w:val="single" w:sz="8" w:space="0" w:color="A8D08D" w:themeColor="accent6" w:themeTint="99"/>
            </w:tcBorders>
            <w:shd w:val="clear" w:color="auto" w:fill="C5E0B3" w:themeFill="accent6" w:themeFillTint="66"/>
            <w:vAlign w:val="center"/>
          </w:tcPr>
          <w:p w14:paraId="11B55C88" w14:textId="350F21FA" w:rsidR="0069209E" w:rsidRPr="0069209E" w:rsidRDefault="0069209E" w:rsidP="0069209E">
            <w:pPr>
              <w:jc w:val="center"/>
              <w:rPr>
                <w:rFonts w:ascii="Calibri" w:hAnsi="Calibri" w:cs="Calibri"/>
                <w:b/>
                <w:sz w:val="18"/>
                <w:szCs w:val="18"/>
              </w:rPr>
            </w:pPr>
            <w:r>
              <w:rPr>
                <w:rFonts w:ascii="Calibri" w:hAnsi="Calibri" w:cs="Calibri"/>
                <w:b/>
                <w:sz w:val="18"/>
                <w:szCs w:val="18"/>
              </w:rPr>
              <w:t>S</w:t>
            </w:r>
            <w:r w:rsidRPr="00226FA1">
              <w:rPr>
                <w:rFonts w:ascii="Calibri" w:hAnsi="Calibri" w:cs="Calibri"/>
                <w:b/>
                <w:sz w:val="18"/>
                <w:szCs w:val="18"/>
              </w:rPr>
              <w:t>easonally adjusted data</w:t>
            </w:r>
          </w:p>
        </w:tc>
      </w:tr>
      <w:tr w:rsidR="0069209E" w:rsidRPr="00226FA1" w14:paraId="7EEFD9F0" w14:textId="77777777" w:rsidTr="00BF0746">
        <w:trPr>
          <w:trHeight w:val="395"/>
        </w:trPr>
        <w:tc>
          <w:tcPr>
            <w:tcW w:w="2376" w:type="dxa"/>
            <w:tcBorders>
              <w:top w:val="single" w:sz="8" w:space="0" w:color="A8D08D" w:themeColor="accent6" w:themeTint="99"/>
              <w:bottom w:val="single" w:sz="8" w:space="0" w:color="000000" w:themeColor="text1"/>
            </w:tcBorders>
            <w:vAlign w:val="center"/>
          </w:tcPr>
          <w:p w14:paraId="3E0FE6E3" w14:textId="514364C2" w:rsidR="0069209E" w:rsidRPr="00226FA1" w:rsidRDefault="0069209E" w:rsidP="0069209E">
            <w:pPr>
              <w:rPr>
                <w:rFonts w:ascii="Calibri" w:hAnsi="Calibri" w:cs="Calibri"/>
                <w:b/>
                <w:sz w:val="18"/>
                <w:szCs w:val="18"/>
              </w:rPr>
            </w:pPr>
            <w:r w:rsidRPr="00226FA1">
              <w:rPr>
                <w:rFonts w:ascii="Calibri" w:hAnsi="Calibri" w:cs="Calibri"/>
                <w:b/>
                <w:sz w:val="18"/>
                <w:szCs w:val="18"/>
              </w:rPr>
              <w:t>Depth of revisions (max)</w:t>
            </w:r>
          </w:p>
        </w:tc>
        <w:tc>
          <w:tcPr>
            <w:tcW w:w="7200" w:type="dxa"/>
            <w:gridSpan w:val="4"/>
            <w:tcBorders>
              <w:top w:val="single" w:sz="8" w:space="0" w:color="A8D08D" w:themeColor="accent6" w:themeTint="99"/>
              <w:bottom w:val="single" w:sz="8" w:space="0" w:color="000000" w:themeColor="text1"/>
            </w:tcBorders>
            <w:vAlign w:val="center"/>
          </w:tcPr>
          <w:p w14:paraId="03195C20" w14:textId="3CCAA7BD" w:rsidR="0069209E" w:rsidRPr="00226FA1" w:rsidRDefault="0069209E" w:rsidP="0069209E">
            <w:pPr>
              <w:jc w:val="center"/>
              <w:rPr>
                <w:rFonts w:asciiTheme="majorHAnsi" w:hAnsiTheme="majorHAnsi" w:cstheme="majorHAnsi"/>
                <w:sz w:val="20"/>
                <w:szCs w:val="20"/>
              </w:rPr>
            </w:pPr>
            <w:r w:rsidRPr="004560A2">
              <w:rPr>
                <w:rFonts w:ascii="Calibri" w:hAnsi="Calibri" w:cs="Calibri"/>
                <w:b/>
                <w:sz w:val="18"/>
                <w:szCs w:val="18"/>
              </w:rPr>
              <w:t>whole time series</w:t>
            </w:r>
          </w:p>
        </w:tc>
      </w:tr>
    </w:tbl>
    <w:p w14:paraId="23DFF286" w14:textId="5DB2C186" w:rsidR="004560A2" w:rsidRDefault="004560A2" w:rsidP="00686F18">
      <w:pPr>
        <w:rPr>
          <w:rFonts w:asciiTheme="majorHAnsi" w:eastAsiaTheme="minorHAnsi" w:hAnsiTheme="majorHAnsi" w:cstheme="majorHAnsi"/>
          <w:b/>
          <w:bCs/>
          <w:sz w:val="20"/>
          <w:szCs w:val="20"/>
        </w:rPr>
      </w:pPr>
    </w:p>
    <w:p w14:paraId="55396008" w14:textId="7AC1DD25" w:rsidR="00686F18" w:rsidRPr="00226FA1" w:rsidRDefault="00686F18" w:rsidP="00686F18">
      <w:pPr>
        <w:jc w:val="both"/>
        <w:rPr>
          <w:rFonts w:asciiTheme="majorHAnsi" w:eastAsiaTheme="minorHAnsi" w:hAnsiTheme="majorHAnsi" w:cstheme="majorHAnsi"/>
          <w:sz w:val="20"/>
          <w:szCs w:val="20"/>
        </w:rPr>
      </w:pPr>
      <w:r w:rsidRPr="00226FA1">
        <w:rPr>
          <w:rFonts w:asciiTheme="majorHAnsi" w:eastAsiaTheme="minorHAnsi" w:hAnsiTheme="majorHAnsi" w:cstheme="majorHAnsi"/>
          <w:sz w:val="20"/>
          <w:szCs w:val="20"/>
        </w:rPr>
        <w:t xml:space="preserve">Data for quarters of a current year are revised until the fourth quarter data are published: together with the second quarter data, revised data for the first quarter are published, together with the third quarter data, revised data for the first and the second quarters are published, together with the fourth quarter data, revised data for the first, the second and the third quarters are published. After the publication of the fourth quarter data, quarterly </w:t>
      </w:r>
      <w:r w:rsidR="007E4528">
        <w:rPr>
          <w:rFonts w:asciiTheme="majorHAnsi" w:eastAsiaTheme="minorHAnsi" w:hAnsiTheme="majorHAnsi" w:cstheme="majorHAnsi"/>
          <w:sz w:val="20"/>
          <w:szCs w:val="20"/>
          <w:lang w:val="sr-Latn-RS"/>
        </w:rPr>
        <w:t>data</w:t>
      </w:r>
      <w:r w:rsidR="007E4528" w:rsidRPr="00226FA1">
        <w:rPr>
          <w:rFonts w:asciiTheme="majorHAnsi" w:eastAsiaTheme="minorHAnsi" w:hAnsiTheme="majorHAnsi" w:cstheme="majorHAnsi"/>
          <w:sz w:val="20"/>
          <w:szCs w:val="20"/>
        </w:rPr>
        <w:t xml:space="preserve"> </w:t>
      </w:r>
      <w:r w:rsidRPr="00226FA1">
        <w:rPr>
          <w:rFonts w:asciiTheme="majorHAnsi" w:eastAsiaTheme="minorHAnsi" w:hAnsiTheme="majorHAnsi" w:cstheme="majorHAnsi"/>
          <w:sz w:val="20"/>
          <w:szCs w:val="20"/>
        </w:rPr>
        <w:t xml:space="preserve">are revised only due to reconciliation with annual accounts data. </w:t>
      </w:r>
    </w:p>
    <w:p w14:paraId="50833F26" w14:textId="6FC0A3AC" w:rsidR="00E31115" w:rsidRDefault="00F94A72" w:rsidP="008A3384">
      <w:pPr>
        <w:jc w:val="both"/>
        <w:rPr>
          <w:rFonts w:asciiTheme="majorHAnsi" w:eastAsiaTheme="minorHAnsi" w:hAnsiTheme="majorHAnsi" w:cstheme="majorHAnsi"/>
          <w:sz w:val="20"/>
          <w:szCs w:val="20"/>
        </w:rPr>
      </w:pPr>
      <w:r w:rsidRPr="00226FA1">
        <w:rPr>
          <w:rFonts w:asciiTheme="majorHAnsi" w:eastAsiaTheme="minorHAnsi" w:hAnsiTheme="majorHAnsi" w:cstheme="majorHAnsi"/>
          <w:sz w:val="20"/>
          <w:szCs w:val="20"/>
        </w:rPr>
        <w:t xml:space="preserve">The first revision </w:t>
      </w:r>
      <w:r w:rsidR="00B14BE7">
        <w:rPr>
          <w:rFonts w:asciiTheme="majorHAnsi" w:eastAsiaTheme="minorHAnsi" w:hAnsiTheme="majorHAnsi" w:cstheme="majorHAnsi"/>
          <w:sz w:val="20"/>
          <w:szCs w:val="20"/>
        </w:rPr>
        <w:t xml:space="preserve">of quarterly data (due to reconciliation with annual accounts data) </w:t>
      </w:r>
      <w:r w:rsidRPr="00226FA1">
        <w:rPr>
          <w:rFonts w:asciiTheme="majorHAnsi" w:eastAsiaTheme="minorHAnsi" w:hAnsiTheme="majorHAnsi" w:cstheme="majorHAnsi"/>
          <w:sz w:val="20"/>
          <w:szCs w:val="20"/>
        </w:rPr>
        <w:t>is carried out w</w:t>
      </w:r>
      <w:r w:rsidR="00B14BE7">
        <w:rPr>
          <w:rFonts w:asciiTheme="majorHAnsi" w:eastAsiaTheme="minorHAnsi" w:hAnsiTheme="majorHAnsi" w:cstheme="majorHAnsi"/>
          <w:sz w:val="20"/>
          <w:szCs w:val="20"/>
        </w:rPr>
        <w:t xml:space="preserve">ith available </w:t>
      </w:r>
      <w:r w:rsidRPr="00226FA1">
        <w:rPr>
          <w:rFonts w:asciiTheme="majorHAnsi" w:eastAsiaTheme="minorHAnsi" w:hAnsiTheme="majorHAnsi" w:cstheme="majorHAnsi"/>
          <w:sz w:val="20"/>
          <w:szCs w:val="20"/>
        </w:rPr>
        <w:t>annual accounts data</w:t>
      </w:r>
      <w:r w:rsidR="000F3C39">
        <w:rPr>
          <w:rFonts w:asciiTheme="majorHAnsi" w:eastAsiaTheme="minorHAnsi" w:hAnsiTheme="majorHAnsi" w:cstheme="majorHAnsi"/>
          <w:sz w:val="20"/>
          <w:szCs w:val="20"/>
        </w:rPr>
        <w:t xml:space="preserve">, obtained </w:t>
      </w:r>
      <w:r w:rsidR="00B14BE7">
        <w:rPr>
          <w:rFonts w:asciiTheme="majorHAnsi" w:eastAsiaTheme="minorHAnsi" w:hAnsiTheme="majorHAnsi" w:cstheme="majorHAnsi"/>
          <w:sz w:val="20"/>
          <w:szCs w:val="20"/>
        </w:rPr>
        <w:t xml:space="preserve">as </w:t>
      </w:r>
      <w:r w:rsidR="007A2997">
        <w:rPr>
          <w:rFonts w:asciiTheme="majorHAnsi" w:eastAsiaTheme="minorHAnsi" w:hAnsiTheme="majorHAnsi" w:cstheme="majorHAnsi"/>
          <w:sz w:val="20"/>
          <w:szCs w:val="20"/>
        </w:rPr>
        <w:t xml:space="preserve">the </w:t>
      </w:r>
      <w:r w:rsidRPr="00226FA1">
        <w:rPr>
          <w:rFonts w:asciiTheme="majorHAnsi" w:eastAsiaTheme="minorHAnsi" w:hAnsiTheme="majorHAnsi" w:cstheme="majorHAnsi"/>
          <w:sz w:val="20"/>
          <w:szCs w:val="20"/>
        </w:rPr>
        <w:t>sum of four quarters</w:t>
      </w:r>
      <w:r w:rsidR="00B14BE7">
        <w:rPr>
          <w:rFonts w:asciiTheme="majorHAnsi" w:eastAsiaTheme="minorHAnsi" w:hAnsiTheme="majorHAnsi" w:cstheme="majorHAnsi"/>
          <w:sz w:val="20"/>
          <w:szCs w:val="20"/>
        </w:rPr>
        <w:t xml:space="preserve">; </w:t>
      </w:r>
      <w:r w:rsidRPr="00226FA1">
        <w:rPr>
          <w:rFonts w:asciiTheme="majorHAnsi" w:eastAsiaTheme="minorHAnsi" w:hAnsiTheme="majorHAnsi" w:cstheme="majorHAnsi"/>
          <w:sz w:val="20"/>
          <w:szCs w:val="20"/>
        </w:rPr>
        <w:t>the second revision</w:t>
      </w:r>
      <w:r w:rsidR="00B14BE7">
        <w:rPr>
          <w:rFonts w:asciiTheme="majorHAnsi" w:eastAsiaTheme="minorHAnsi" w:hAnsiTheme="majorHAnsi" w:cstheme="majorHAnsi"/>
          <w:sz w:val="20"/>
          <w:szCs w:val="20"/>
        </w:rPr>
        <w:t xml:space="preserve"> </w:t>
      </w:r>
      <w:r w:rsidR="00B14BE7" w:rsidRPr="00226FA1">
        <w:rPr>
          <w:rFonts w:asciiTheme="majorHAnsi" w:eastAsiaTheme="minorHAnsi" w:hAnsiTheme="majorHAnsi" w:cstheme="majorHAnsi"/>
          <w:sz w:val="20"/>
          <w:szCs w:val="20"/>
        </w:rPr>
        <w:t>is carried out</w:t>
      </w:r>
      <w:r w:rsidRPr="00226FA1">
        <w:rPr>
          <w:rFonts w:asciiTheme="majorHAnsi" w:eastAsiaTheme="minorHAnsi" w:hAnsiTheme="majorHAnsi" w:cstheme="majorHAnsi"/>
          <w:sz w:val="20"/>
          <w:szCs w:val="20"/>
        </w:rPr>
        <w:t xml:space="preserve"> when the preliminary annual accounts data become available and the third </w:t>
      </w:r>
      <w:r w:rsidR="007A2997">
        <w:rPr>
          <w:rFonts w:asciiTheme="majorHAnsi" w:eastAsiaTheme="minorHAnsi" w:hAnsiTheme="majorHAnsi" w:cstheme="majorHAnsi"/>
          <w:sz w:val="20"/>
          <w:szCs w:val="20"/>
        </w:rPr>
        <w:t xml:space="preserve">– </w:t>
      </w:r>
      <w:r w:rsidRPr="00226FA1">
        <w:rPr>
          <w:rFonts w:asciiTheme="majorHAnsi" w:eastAsiaTheme="minorHAnsi" w:hAnsiTheme="majorHAnsi" w:cstheme="majorHAnsi"/>
          <w:sz w:val="20"/>
          <w:szCs w:val="20"/>
        </w:rPr>
        <w:t xml:space="preserve">when the final annual accounts data have been determined. In </w:t>
      </w:r>
      <w:r>
        <w:rPr>
          <w:rFonts w:asciiTheme="majorHAnsi" w:eastAsiaTheme="minorHAnsi" w:hAnsiTheme="majorHAnsi" w:cstheme="majorHAnsi"/>
          <w:sz w:val="20"/>
          <w:szCs w:val="20"/>
        </w:rPr>
        <w:t>th</w:t>
      </w:r>
      <w:r w:rsidR="00B14BE7">
        <w:rPr>
          <w:rFonts w:asciiTheme="majorHAnsi" w:eastAsiaTheme="minorHAnsi" w:hAnsiTheme="majorHAnsi" w:cstheme="majorHAnsi"/>
          <w:sz w:val="20"/>
          <w:szCs w:val="20"/>
        </w:rPr>
        <w:t>ese</w:t>
      </w:r>
      <w:r w:rsidRPr="00226FA1">
        <w:rPr>
          <w:rFonts w:asciiTheme="majorHAnsi" w:eastAsiaTheme="minorHAnsi" w:hAnsiTheme="majorHAnsi" w:cstheme="majorHAnsi"/>
          <w:sz w:val="20"/>
          <w:szCs w:val="20"/>
        </w:rPr>
        <w:t xml:space="preserve"> cases, </w:t>
      </w:r>
      <w:r w:rsidR="007A2997">
        <w:rPr>
          <w:rFonts w:asciiTheme="majorHAnsi" w:eastAsiaTheme="minorHAnsi" w:hAnsiTheme="majorHAnsi" w:cstheme="majorHAnsi"/>
          <w:sz w:val="20"/>
          <w:szCs w:val="20"/>
        </w:rPr>
        <w:t xml:space="preserve">the </w:t>
      </w:r>
      <w:r w:rsidRPr="00226FA1">
        <w:rPr>
          <w:rFonts w:asciiTheme="majorHAnsi" w:eastAsiaTheme="minorHAnsi" w:hAnsiTheme="majorHAnsi" w:cstheme="majorHAnsi"/>
          <w:sz w:val="20"/>
          <w:szCs w:val="20"/>
        </w:rPr>
        <w:t>quarters of the current year and two previous years are revised. The exception to the general rule is seasonally adjusted data; they are revised in the context of the whole time series.</w:t>
      </w:r>
    </w:p>
    <w:p w14:paraId="790C924E" w14:textId="52C877E6" w:rsidR="00A24241" w:rsidRDefault="00A24241" w:rsidP="008A3384">
      <w:pPr>
        <w:jc w:val="both"/>
        <w:rPr>
          <w:rFonts w:asciiTheme="majorHAnsi" w:eastAsiaTheme="minorHAnsi" w:hAnsiTheme="majorHAnsi" w:cstheme="majorHAnsi"/>
          <w:sz w:val="20"/>
          <w:szCs w:val="20"/>
        </w:rPr>
      </w:pPr>
    </w:p>
    <w:p w14:paraId="6FACA75E" w14:textId="77777777" w:rsidR="00A24241" w:rsidRPr="008A3384" w:rsidRDefault="00A24241" w:rsidP="008A3384">
      <w:pPr>
        <w:jc w:val="both"/>
        <w:rPr>
          <w:rFonts w:asciiTheme="majorHAnsi" w:eastAsiaTheme="minorHAnsi" w:hAnsiTheme="majorHAnsi" w:cstheme="majorHAnsi"/>
          <w:sz w:val="20"/>
          <w:szCs w:val="20"/>
          <w:u w:val="single"/>
        </w:rPr>
      </w:pPr>
    </w:p>
    <w:p w14:paraId="032F0558" w14:textId="79269120" w:rsidR="004560A2" w:rsidRPr="004560A2" w:rsidRDefault="00286904" w:rsidP="00286904">
      <w:pPr>
        <w:spacing w:line="276" w:lineRule="auto"/>
        <w:jc w:val="center"/>
        <w:rPr>
          <w:rFonts w:asciiTheme="majorHAnsi" w:eastAsiaTheme="minorHAnsi" w:hAnsiTheme="majorHAnsi" w:cstheme="majorHAnsi"/>
          <w:b/>
          <w:bCs/>
          <w:sz w:val="20"/>
          <w:szCs w:val="20"/>
        </w:rPr>
      </w:pPr>
      <w:r w:rsidRPr="00226FA1">
        <w:rPr>
          <w:rFonts w:asciiTheme="majorHAnsi" w:hAnsiTheme="majorHAnsi" w:cstheme="majorHAnsi"/>
          <w:b/>
          <w:sz w:val="20"/>
          <w:szCs w:val="20"/>
        </w:rPr>
        <w:t>National accounts main</w:t>
      </w:r>
      <w:r>
        <w:rPr>
          <w:rFonts w:asciiTheme="majorHAnsi" w:hAnsiTheme="majorHAnsi" w:cstheme="majorHAnsi"/>
          <w:b/>
          <w:sz w:val="20"/>
          <w:szCs w:val="20"/>
        </w:rPr>
        <w:t xml:space="preserve"> </w:t>
      </w:r>
      <w:r w:rsidRPr="00226FA1">
        <w:rPr>
          <w:rFonts w:asciiTheme="majorHAnsi" w:hAnsiTheme="majorHAnsi" w:cstheme="majorHAnsi"/>
          <w:b/>
          <w:sz w:val="20"/>
          <w:szCs w:val="20"/>
        </w:rPr>
        <w:t>aggregates, annual data</w:t>
      </w:r>
    </w:p>
    <w:tbl>
      <w:tblPr>
        <w:tblStyle w:val="TableGrid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05"/>
        <w:gridCol w:w="1453"/>
        <w:gridCol w:w="1894"/>
      </w:tblGrid>
      <w:tr w:rsidR="004560A2" w:rsidRPr="00226FA1" w14:paraId="2B803D78" w14:textId="77777777" w:rsidTr="00AB1172">
        <w:trPr>
          <w:trHeight w:val="416"/>
          <w:jc w:val="center"/>
        </w:trPr>
        <w:tc>
          <w:tcPr>
            <w:tcW w:w="2305" w:type="dxa"/>
            <w:tcBorders>
              <w:top w:val="single" w:sz="8" w:space="0" w:color="auto"/>
              <w:bottom w:val="nil"/>
            </w:tcBorders>
            <w:shd w:val="clear" w:color="auto" w:fill="E2EFD9" w:themeFill="accent6" w:themeFillTint="33"/>
            <w:vAlign w:val="center"/>
          </w:tcPr>
          <w:p w14:paraId="66175B2E" w14:textId="77777777" w:rsidR="004560A2" w:rsidRPr="00226FA1" w:rsidRDefault="004560A2" w:rsidP="008A3384">
            <w:pPr>
              <w:rPr>
                <w:rFonts w:ascii="Calibri" w:hAnsi="Calibri" w:cs="Calibri"/>
                <w:b/>
                <w:sz w:val="18"/>
                <w:szCs w:val="18"/>
              </w:rPr>
            </w:pPr>
          </w:p>
        </w:tc>
        <w:tc>
          <w:tcPr>
            <w:tcW w:w="3347" w:type="dxa"/>
            <w:gridSpan w:val="2"/>
            <w:tcBorders>
              <w:top w:val="single" w:sz="8" w:space="0" w:color="auto"/>
              <w:bottom w:val="nil"/>
            </w:tcBorders>
            <w:shd w:val="clear" w:color="auto" w:fill="E2EFD9" w:themeFill="accent6" w:themeFillTint="33"/>
            <w:vAlign w:val="center"/>
          </w:tcPr>
          <w:p w14:paraId="2911D0B3" w14:textId="77777777" w:rsidR="004560A2" w:rsidRPr="00226FA1" w:rsidRDefault="004560A2" w:rsidP="008A3384">
            <w:pPr>
              <w:jc w:val="center"/>
              <w:rPr>
                <w:rFonts w:ascii="Calibri" w:hAnsi="Calibri" w:cs="Calibri"/>
                <w:b/>
                <w:sz w:val="18"/>
                <w:szCs w:val="18"/>
              </w:rPr>
            </w:pPr>
            <w:r>
              <w:rPr>
                <w:rFonts w:ascii="Calibri" w:hAnsi="Calibri" w:cs="Calibri"/>
                <w:b/>
                <w:sz w:val="18"/>
                <w:szCs w:val="18"/>
              </w:rPr>
              <w:t>Date of release</w:t>
            </w:r>
          </w:p>
        </w:tc>
      </w:tr>
      <w:tr w:rsidR="00C26B86" w:rsidRPr="00226FA1" w14:paraId="5A5BEC5F" w14:textId="77777777" w:rsidTr="00AB1172">
        <w:trPr>
          <w:trHeight w:val="378"/>
          <w:jc w:val="center"/>
        </w:trPr>
        <w:tc>
          <w:tcPr>
            <w:tcW w:w="2305" w:type="dxa"/>
            <w:tcBorders>
              <w:top w:val="nil"/>
              <w:bottom w:val="single" w:sz="8" w:space="0" w:color="A8D08D" w:themeColor="accent6" w:themeTint="99"/>
            </w:tcBorders>
            <w:shd w:val="clear" w:color="auto" w:fill="E2EFD9" w:themeFill="accent6" w:themeFillTint="33"/>
            <w:vAlign w:val="center"/>
          </w:tcPr>
          <w:p w14:paraId="5C498C4D" w14:textId="25384C87" w:rsidR="00C26B86" w:rsidRPr="00226FA1" w:rsidRDefault="00C26B86" w:rsidP="008A3384">
            <w:pPr>
              <w:jc w:val="center"/>
              <w:rPr>
                <w:rFonts w:ascii="Calibri" w:hAnsi="Calibri" w:cs="Calibri"/>
                <w:b/>
                <w:sz w:val="18"/>
                <w:szCs w:val="18"/>
              </w:rPr>
            </w:pPr>
            <w:r w:rsidRPr="00226FA1">
              <w:rPr>
                <w:rFonts w:ascii="Calibri" w:hAnsi="Calibri" w:cs="Calibri"/>
                <w:b/>
                <w:sz w:val="18"/>
                <w:szCs w:val="18"/>
              </w:rPr>
              <w:t xml:space="preserve">Year </w:t>
            </w:r>
            <w:r>
              <w:rPr>
                <w:rFonts w:ascii="Calibri" w:hAnsi="Calibri" w:cs="Calibri"/>
                <w:b/>
                <w:sz w:val="18"/>
                <w:szCs w:val="18"/>
              </w:rPr>
              <w:t>t</w:t>
            </w:r>
          </w:p>
        </w:tc>
        <w:tc>
          <w:tcPr>
            <w:tcW w:w="1453" w:type="dxa"/>
            <w:tcBorders>
              <w:top w:val="nil"/>
              <w:bottom w:val="single" w:sz="8" w:space="0" w:color="A8D08D" w:themeColor="accent6" w:themeTint="99"/>
            </w:tcBorders>
            <w:shd w:val="clear" w:color="auto" w:fill="E2EFD9" w:themeFill="accent6" w:themeFillTint="33"/>
            <w:vAlign w:val="center"/>
          </w:tcPr>
          <w:p w14:paraId="0C985DA3" w14:textId="6F9E5687" w:rsidR="00C26B86" w:rsidRPr="00226FA1" w:rsidRDefault="00C26B86" w:rsidP="008A3384">
            <w:pPr>
              <w:jc w:val="center"/>
              <w:rPr>
                <w:rFonts w:ascii="Calibri" w:hAnsi="Calibri" w:cs="Calibri"/>
                <w:b/>
                <w:sz w:val="18"/>
                <w:szCs w:val="18"/>
              </w:rPr>
            </w:pPr>
            <w:r w:rsidRPr="00226FA1">
              <w:rPr>
                <w:rFonts w:ascii="Calibri" w:hAnsi="Calibri" w:cs="Calibri"/>
                <w:b/>
                <w:sz w:val="18"/>
                <w:szCs w:val="18"/>
              </w:rPr>
              <w:t xml:space="preserve"> </w:t>
            </w:r>
            <w:r>
              <w:rPr>
                <w:rFonts w:ascii="Calibri" w:hAnsi="Calibri" w:cs="Calibri"/>
                <w:b/>
                <w:sz w:val="18"/>
                <w:szCs w:val="18"/>
              </w:rPr>
              <w:t>28/29 February</w:t>
            </w:r>
          </w:p>
        </w:tc>
        <w:tc>
          <w:tcPr>
            <w:tcW w:w="1894" w:type="dxa"/>
            <w:tcBorders>
              <w:top w:val="nil"/>
              <w:bottom w:val="single" w:sz="8" w:space="0" w:color="A8D08D" w:themeColor="accent6" w:themeTint="99"/>
            </w:tcBorders>
            <w:shd w:val="clear" w:color="auto" w:fill="E2EFD9" w:themeFill="accent6" w:themeFillTint="33"/>
            <w:vAlign w:val="center"/>
          </w:tcPr>
          <w:p w14:paraId="3E23D7AC" w14:textId="52D1A16B" w:rsidR="00C26B86" w:rsidRPr="00226FA1" w:rsidRDefault="00C26B86" w:rsidP="00FF7CA5">
            <w:pPr>
              <w:jc w:val="center"/>
              <w:rPr>
                <w:rFonts w:ascii="Calibri" w:hAnsi="Calibri" w:cs="Calibri"/>
                <w:b/>
                <w:sz w:val="18"/>
                <w:szCs w:val="18"/>
              </w:rPr>
            </w:pPr>
            <w:r>
              <w:rPr>
                <w:rFonts w:ascii="Calibri" w:hAnsi="Calibri" w:cs="Calibri"/>
                <w:b/>
                <w:sz w:val="18"/>
                <w:szCs w:val="18"/>
              </w:rPr>
              <w:t>30 September</w:t>
            </w:r>
          </w:p>
        </w:tc>
      </w:tr>
      <w:tr w:rsidR="00C26B86" w:rsidRPr="00226FA1" w14:paraId="0E729DF0" w14:textId="77777777" w:rsidTr="00AB1172">
        <w:trPr>
          <w:jc w:val="center"/>
        </w:trPr>
        <w:tc>
          <w:tcPr>
            <w:tcW w:w="2305" w:type="dxa"/>
            <w:tcBorders>
              <w:top w:val="single" w:sz="8" w:space="0" w:color="A8D08D" w:themeColor="accent6" w:themeTint="99"/>
              <w:bottom w:val="single" w:sz="8" w:space="0" w:color="A8D08D" w:themeColor="accent6" w:themeTint="99"/>
            </w:tcBorders>
            <w:vAlign w:val="center"/>
          </w:tcPr>
          <w:p w14:paraId="32090A25" w14:textId="77777777" w:rsidR="00C26B86" w:rsidRPr="001877A3" w:rsidRDefault="00C26B86" w:rsidP="00CD3DBB">
            <w:pPr>
              <w:rPr>
                <w:rFonts w:ascii="Calibri" w:hAnsi="Calibri" w:cs="Calibri"/>
                <w:b/>
                <w:sz w:val="18"/>
                <w:szCs w:val="18"/>
              </w:rPr>
            </w:pPr>
            <w:r w:rsidRPr="001877A3">
              <w:rPr>
                <w:rFonts w:ascii="Calibri" w:hAnsi="Calibri" w:cs="Calibri"/>
                <w:b/>
                <w:sz w:val="18"/>
                <w:szCs w:val="18"/>
              </w:rPr>
              <w:t>Latest full year available</w:t>
            </w:r>
          </w:p>
        </w:tc>
        <w:tc>
          <w:tcPr>
            <w:tcW w:w="1453" w:type="dxa"/>
            <w:tcBorders>
              <w:top w:val="single" w:sz="8" w:space="0" w:color="A8D08D" w:themeColor="accent6" w:themeTint="99"/>
              <w:bottom w:val="single" w:sz="8" w:space="0" w:color="A8D08D" w:themeColor="accent6" w:themeTint="99"/>
            </w:tcBorders>
            <w:vAlign w:val="center"/>
          </w:tcPr>
          <w:p w14:paraId="1FD704BC" w14:textId="1014B258" w:rsidR="00C26B86" w:rsidRPr="00226FA1" w:rsidRDefault="00C26B86" w:rsidP="00CD3DBB">
            <w:pPr>
              <w:jc w:val="center"/>
              <w:rPr>
                <w:rFonts w:ascii="Calibri" w:hAnsi="Calibri" w:cs="Calibri"/>
                <w:sz w:val="18"/>
                <w:szCs w:val="18"/>
              </w:rPr>
            </w:pPr>
            <w:r>
              <w:rPr>
                <w:rFonts w:ascii="Calibri" w:hAnsi="Calibri" w:cs="Calibri"/>
                <w:sz w:val="18"/>
                <w:szCs w:val="18"/>
              </w:rPr>
              <w:t>Year t</w:t>
            </w:r>
            <w:r w:rsidRPr="00226FA1">
              <w:rPr>
                <w:rFonts w:ascii="Calibri" w:hAnsi="Calibri" w:cs="Calibri"/>
                <w:sz w:val="18"/>
                <w:szCs w:val="18"/>
              </w:rPr>
              <w:t>-1</w:t>
            </w:r>
          </w:p>
        </w:tc>
        <w:tc>
          <w:tcPr>
            <w:tcW w:w="1894" w:type="dxa"/>
            <w:tcBorders>
              <w:top w:val="single" w:sz="8" w:space="0" w:color="A8D08D" w:themeColor="accent6" w:themeTint="99"/>
              <w:bottom w:val="single" w:sz="8" w:space="0" w:color="A8D08D" w:themeColor="accent6" w:themeTint="99"/>
            </w:tcBorders>
            <w:vAlign w:val="center"/>
          </w:tcPr>
          <w:p w14:paraId="47675C1F" w14:textId="62278379" w:rsidR="00C26B86" w:rsidRPr="00226FA1" w:rsidRDefault="00C26B86" w:rsidP="00CD3DBB">
            <w:pPr>
              <w:jc w:val="center"/>
              <w:rPr>
                <w:rFonts w:ascii="Calibri" w:hAnsi="Calibri" w:cs="Calibri"/>
                <w:sz w:val="18"/>
                <w:szCs w:val="18"/>
              </w:rPr>
            </w:pPr>
            <w:r>
              <w:rPr>
                <w:rFonts w:ascii="Calibri" w:hAnsi="Calibri" w:cs="Calibri"/>
                <w:sz w:val="18"/>
                <w:szCs w:val="18"/>
              </w:rPr>
              <w:t>Year t</w:t>
            </w:r>
            <w:r w:rsidRPr="00226FA1">
              <w:rPr>
                <w:rFonts w:ascii="Calibri" w:hAnsi="Calibri" w:cs="Calibri"/>
                <w:sz w:val="18"/>
                <w:szCs w:val="18"/>
              </w:rPr>
              <w:t>-1</w:t>
            </w:r>
          </w:p>
        </w:tc>
      </w:tr>
      <w:tr w:rsidR="00C26B86" w:rsidRPr="00226FA1" w14:paraId="09476C0C" w14:textId="77777777" w:rsidTr="00AB1172">
        <w:trPr>
          <w:jc w:val="center"/>
        </w:trPr>
        <w:tc>
          <w:tcPr>
            <w:tcW w:w="2305" w:type="dxa"/>
            <w:tcBorders>
              <w:top w:val="single" w:sz="8" w:space="0" w:color="A8D08D" w:themeColor="accent6" w:themeTint="99"/>
              <w:bottom w:val="single" w:sz="8" w:space="0" w:color="000000" w:themeColor="text1"/>
            </w:tcBorders>
            <w:vAlign w:val="center"/>
          </w:tcPr>
          <w:p w14:paraId="5E21AFD7" w14:textId="77777777" w:rsidR="00C26B86" w:rsidRPr="00226FA1" w:rsidRDefault="00C26B86" w:rsidP="00D35D21">
            <w:pPr>
              <w:rPr>
                <w:rFonts w:ascii="Calibri" w:hAnsi="Calibri" w:cs="Calibri"/>
                <w:b/>
                <w:sz w:val="18"/>
                <w:szCs w:val="18"/>
              </w:rPr>
            </w:pPr>
            <w:r w:rsidRPr="00226FA1">
              <w:rPr>
                <w:rFonts w:ascii="Calibri" w:hAnsi="Calibri" w:cs="Calibri"/>
                <w:b/>
                <w:sz w:val="18"/>
                <w:szCs w:val="18"/>
              </w:rPr>
              <w:t>Depth of revisions (max)</w:t>
            </w:r>
          </w:p>
        </w:tc>
        <w:tc>
          <w:tcPr>
            <w:tcW w:w="1453" w:type="dxa"/>
            <w:tcBorders>
              <w:top w:val="single" w:sz="8" w:space="0" w:color="A8D08D" w:themeColor="accent6" w:themeTint="99"/>
              <w:bottom w:val="single" w:sz="8" w:space="0" w:color="000000" w:themeColor="text1"/>
            </w:tcBorders>
            <w:vAlign w:val="center"/>
          </w:tcPr>
          <w:p w14:paraId="4D63B906" w14:textId="292A1D0A" w:rsidR="00C26B86" w:rsidRPr="00226FA1" w:rsidRDefault="00C26B86" w:rsidP="00CD3DBB">
            <w:pPr>
              <w:jc w:val="center"/>
              <w:rPr>
                <w:rFonts w:ascii="Calibri" w:hAnsi="Calibri" w:cs="Calibri"/>
                <w:sz w:val="18"/>
                <w:szCs w:val="18"/>
              </w:rPr>
            </w:pPr>
            <w:r>
              <w:rPr>
                <w:rFonts w:ascii="Calibri" w:hAnsi="Calibri" w:cs="Calibri"/>
                <w:sz w:val="18"/>
                <w:szCs w:val="18"/>
              </w:rPr>
              <w:t>-</w:t>
            </w:r>
          </w:p>
        </w:tc>
        <w:tc>
          <w:tcPr>
            <w:tcW w:w="1894" w:type="dxa"/>
            <w:tcBorders>
              <w:top w:val="single" w:sz="8" w:space="0" w:color="A8D08D" w:themeColor="accent6" w:themeTint="99"/>
              <w:bottom w:val="single" w:sz="8" w:space="0" w:color="000000" w:themeColor="text1"/>
            </w:tcBorders>
            <w:vAlign w:val="center"/>
          </w:tcPr>
          <w:p w14:paraId="661C9394" w14:textId="2267D379" w:rsidR="00C26B86" w:rsidRPr="00226FA1" w:rsidRDefault="00C26B86" w:rsidP="00CD3DBB">
            <w:pPr>
              <w:jc w:val="center"/>
              <w:rPr>
                <w:rFonts w:ascii="Calibri" w:hAnsi="Calibri" w:cs="Calibri"/>
                <w:b/>
                <w:sz w:val="18"/>
                <w:szCs w:val="18"/>
              </w:rPr>
            </w:pPr>
            <w:r>
              <w:rPr>
                <w:rFonts w:ascii="Calibri" w:hAnsi="Calibri" w:cs="Calibri"/>
                <w:b/>
                <w:sz w:val="18"/>
                <w:szCs w:val="18"/>
              </w:rPr>
              <w:t>2</w:t>
            </w:r>
            <w:r w:rsidRPr="00226FA1">
              <w:rPr>
                <w:rFonts w:ascii="Calibri" w:hAnsi="Calibri" w:cs="Calibri"/>
                <w:b/>
                <w:sz w:val="18"/>
                <w:szCs w:val="18"/>
              </w:rPr>
              <w:t xml:space="preserve"> year</w:t>
            </w:r>
            <w:r>
              <w:rPr>
                <w:rFonts w:ascii="Calibri" w:hAnsi="Calibri" w:cs="Calibri"/>
                <w:b/>
                <w:sz w:val="18"/>
                <w:szCs w:val="18"/>
              </w:rPr>
              <w:t>s</w:t>
            </w:r>
          </w:p>
          <w:p w14:paraId="52E21870" w14:textId="7DEAC6C5" w:rsidR="00C26B86" w:rsidRDefault="00C26B86" w:rsidP="004560A2">
            <w:pPr>
              <w:jc w:val="center"/>
              <w:rPr>
                <w:rFonts w:ascii="Calibri" w:hAnsi="Calibri" w:cs="Calibri"/>
                <w:sz w:val="18"/>
                <w:szCs w:val="18"/>
              </w:rPr>
            </w:pPr>
            <w:r w:rsidRPr="00226FA1">
              <w:rPr>
                <w:rFonts w:ascii="Calibri" w:hAnsi="Calibri" w:cs="Calibri"/>
                <w:sz w:val="18"/>
                <w:szCs w:val="18"/>
              </w:rPr>
              <w:t xml:space="preserve">Year </w:t>
            </w:r>
            <w:r>
              <w:rPr>
                <w:rFonts w:ascii="Calibri" w:hAnsi="Calibri" w:cs="Calibri"/>
                <w:sz w:val="18"/>
                <w:szCs w:val="18"/>
              </w:rPr>
              <w:t>t</w:t>
            </w:r>
            <w:r w:rsidRPr="00226FA1">
              <w:rPr>
                <w:rFonts w:ascii="Calibri" w:hAnsi="Calibri" w:cs="Calibri"/>
                <w:sz w:val="18"/>
                <w:szCs w:val="18"/>
              </w:rPr>
              <w:t>-</w:t>
            </w:r>
            <w:r>
              <w:rPr>
                <w:rFonts w:ascii="Calibri" w:hAnsi="Calibri" w:cs="Calibri"/>
                <w:sz w:val="18"/>
                <w:szCs w:val="18"/>
              </w:rPr>
              <w:t>1</w:t>
            </w:r>
          </w:p>
          <w:p w14:paraId="71567AAA" w14:textId="5B0466A1" w:rsidR="00C26B86" w:rsidRPr="00226FA1" w:rsidRDefault="00C26B86" w:rsidP="004560A2">
            <w:pPr>
              <w:jc w:val="center"/>
              <w:rPr>
                <w:rFonts w:ascii="Calibri" w:hAnsi="Calibri" w:cs="Calibri"/>
                <w:sz w:val="18"/>
                <w:szCs w:val="18"/>
              </w:rPr>
            </w:pPr>
            <w:r w:rsidRPr="00226FA1">
              <w:rPr>
                <w:rFonts w:ascii="Calibri" w:hAnsi="Calibri" w:cs="Calibri"/>
                <w:sz w:val="18"/>
                <w:szCs w:val="18"/>
              </w:rPr>
              <w:t xml:space="preserve">Year </w:t>
            </w:r>
            <w:r>
              <w:rPr>
                <w:rFonts w:ascii="Calibri" w:hAnsi="Calibri" w:cs="Calibri"/>
                <w:sz w:val="18"/>
                <w:szCs w:val="18"/>
              </w:rPr>
              <w:t>t</w:t>
            </w:r>
            <w:r w:rsidRPr="00226FA1">
              <w:rPr>
                <w:rFonts w:ascii="Calibri" w:hAnsi="Calibri" w:cs="Calibri"/>
                <w:sz w:val="18"/>
                <w:szCs w:val="18"/>
              </w:rPr>
              <w:t>-</w:t>
            </w:r>
            <w:r>
              <w:rPr>
                <w:rFonts w:ascii="Calibri" w:hAnsi="Calibri" w:cs="Calibri"/>
                <w:sz w:val="18"/>
                <w:szCs w:val="18"/>
              </w:rPr>
              <w:t>2</w:t>
            </w:r>
          </w:p>
        </w:tc>
      </w:tr>
    </w:tbl>
    <w:p w14:paraId="61327A2E" w14:textId="77777777" w:rsidR="001877A3" w:rsidRDefault="001877A3" w:rsidP="00700BBA">
      <w:pPr>
        <w:jc w:val="both"/>
        <w:rPr>
          <w:rFonts w:asciiTheme="majorHAnsi" w:eastAsiaTheme="minorHAnsi" w:hAnsiTheme="majorHAnsi" w:cstheme="majorHAnsi"/>
          <w:sz w:val="20"/>
          <w:szCs w:val="20"/>
        </w:rPr>
      </w:pPr>
    </w:p>
    <w:p w14:paraId="1872C740" w14:textId="78795157" w:rsidR="00F94A72" w:rsidRDefault="00D678AA" w:rsidP="00700BBA">
      <w:pPr>
        <w:jc w:val="both"/>
        <w:rPr>
          <w:rFonts w:asciiTheme="majorHAnsi" w:eastAsiaTheme="minorHAnsi" w:hAnsiTheme="majorHAnsi" w:cstheme="majorHAnsi"/>
          <w:sz w:val="20"/>
          <w:szCs w:val="20"/>
        </w:rPr>
      </w:pPr>
      <w:r w:rsidRPr="00226FA1">
        <w:rPr>
          <w:rFonts w:asciiTheme="majorHAnsi" w:eastAsiaTheme="minorHAnsi" w:hAnsiTheme="majorHAnsi" w:cstheme="majorHAnsi"/>
          <w:sz w:val="20"/>
          <w:szCs w:val="20"/>
        </w:rPr>
        <w:t xml:space="preserve">Revisions </w:t>
      </w:r>
      <w:r>
        <w:rPr>
          <w:rFonts w:asciiTheme="majorHAnsi" w:eastAsiaTheme="minorHAnsi" w:hAnsiTheme="majorHAnsi" w:cstheme="majorHAnsi"/>
          <w:sz w:val="20"/>
          <w:szCs w:val="20"/>
        </w:rPr>
        <w:t xml:space="preserve">regarding </w:t>
      </w:r>
      <w:r w:rsidRPr="00226FA1">
        <w:rPr>
          <w:rFonts w:asciiTheme="majorHAnsi" w:eastAsiaTheme="minorHAnsi" w:hAnsiTheme="majorHAnsi" w:cstheme="majorHAnsi"/>
          <w:sz w:val="20"/>
          <w:szCs w:val="20"/>
        </w:rPr>
        <w:t xml:space="preserve">annual national accounts are made </w:t>
      </w:r>
      <w:r w:rsidR="004E6658">
        <w:rPr>
          <w:rFonts w:asciiTheme="majorHAnsi" w:eastAsiaTheme="minorHAnsi" w:hAnsiTheme="majorHAnsi" w:cstheme="majorHAnsi"/>
          <w:sz w:val="20"/>
          <w:szCs w:val="20"/>
        </w:rPr>
        <w:t>once a year</w:t>
      </w:r>
      <w:r w:rsidR="0021296A">
        <w:rPr>
          <w:rFonts w:asciiTheme="majorHAnsi" w:eastAsiaTheme="minorHAnsi" w:hAnsiTheme="majorHAnsi" w:cstheme="majorHAnsi"/>
          <w:sz w:val="20"/>
          <w:szCs w:val="20"/>
        </w:rPr>
        <w:t>,</w:t>
      </w:r>
      <w:r w:rsidR="004E6658">
        <w:rPr>
          <w:rFonts w:asciiTheme="majorHAnsi" w:eastAsiaTheme="minorHAnsi" w:hAnsiTheme="majorHAnsi" w:cstheme="majorHAnsi"/>
          <w:sz w:val="20"/>
          <w:szCs w:val="20"/>
        </w:rPr>
        <w:t xml:space="preserve"> at the end of September. In the year t, </w:t>
      </w:r>
      <w:r w:rsidR="004E6658" w:rsidRPr="00226FA1">
        <w:rPr>
          <w:rFonts w:asciiTheme="majorHAnsi" w:eastAsiaTheme="minorHAnsi" w:hAnsiTheme="majorHAnsi" w:cstheme="majorHAnsi"/>
          <w:sz w:val="20"/>
          <w:szCs w:val="20"/>
        </w:rPr>
        <w:t xml:space="preserve">annual accounts data </w:t>
      </w:r>
      <w:r w:rsidR="004E6658">
        <w:rPr>
          <w:rFonts w:asciiTheme="majorHAnsi" w:eastAsiaTheme="minorHAnsi" w:hAnsiTheme="majorHAnsi" w:cstheme="majorHAnsi"/>
          <w:sz w:val="20"/>
          <w:szCs w:val="20"/>
        </w:rPr>
        <w:t>for year t-1</w:t>
      </w:r>
      <w:r w:rsidR="000F3C39">
        <w:rPr>
          <w:rFonts w:asciiTheme="majorHAnsi" w:eastAsiaTheme="minorHAnsi" w:hAnsiTheme="majorHAnsi" w:cstheme="majorHAnsi"/>
          <w:sz w:val="20"/>
          <w:szCs w:val="20"/>
        </w:rPr>
        <w:t>,</w:t>
      </w:r>
      <w:r w:rsidR="004E6658">
        <w:rPr>
          <w:rFonts w:asciiTheme="majorHAnsi" w:eastAsiaTheme="minorHAnsi" w:hAnsiTheme="majorHAnsi" w:cstheme="majorHAnsi"/>
          <w:sz w:val="20"/>
          <w:szCs w:val="20"/>
        </w:rPr>
        <w:t xml:space="preserve"> obtained as </w:t>
      </w:r>
      <w:r w:rsidR="009E19F8">
        <w:rPr>
          <w:rFonts w:asciiTheme="majorHAnsi" w:eastAsiaTheme="minorHAnsi" w:hAnsiTheme="majorHAnsi" w:cstheme="majorHAnsi"/>
          <w:sz w:val="20"/>
          <w:szCs w:val="20"/>
        </w:rPr>
        <w:t xml:space="preserve">the </w:t>
      </w:r>
      <w:r w:rsidR="004E6658" w:rsidRPr="00226FA1">
        <w:rPr>
          <w:rFonts w:asciiTheme="majorHAnsi" w:eastAsiaTheme="minorHAnsi" w:hAnsiTheme="majorHAnsi" w:cstheme="majorHAnsi"/>
          <w:sz w:val="20"/>
          <w:szCs w:val="20"/>
        </w:rPr>
        <w:t>sum of four quarters</w:t>
      </w:r>
      <w:r w:rsidR="000F3C39">
        <w:rPr>
          <w:rFonts w:asciiTheme="majorHAnsi" w:eastAsiaTheme="minorHAnsi" w:hAnsiTheme="majorHAnsi" w:cstheme="majorHAnsi"/>
          <w:sz w:val="20"/>
          <w:szCs w:val="20"/>
        </w:rPr>
        <w:t>,</w:t>
      </w:r>
      <w:r w:rsidR="004E6658" w:rsidRPr="00226FA1">
        <w:rPr>
          <w:rFonts w:asciiTheme="majorHAnsi" w:eastAsiaTheme="minorHAnsi" w:hAnsiTheme="majorHAnsi" w:cstheme="majorHAnsi"/>
          <w:sz w:val="20"/>
          <w:szCs w:val="20"/>
        </w:rPr>
        <w:t xml:space="preserve"> </w:t>
      </w:r>
      <w:r w:rsidR="004E6658">
        <w:rPr>
          <w:rFonts w:asciiTheme="majorHAnsi" w:eastAsiaTheme="minorHAnsi" w:hAnsiTheme="majorHAnsi" w:cstheme="majorHAnsi"/>
          <w:sz w:val="20"/>
          <w:szCs w:val="20"/>
        </w:rPr>
        <w:t xml:space="preserve">are revised when </w:t>
      </w:r>
      <w:r w:rsidR="004E6658" w:rsidRPr="00226FA1">
        <w:rPr>
          <w:rFonts w:asciiTheme="majorHAnsi" w:eastAsiaTheme="minorHAnsi" w:hAnsiTheme="majorHAnsi" w:cstheme="majorHAnsi"/>
          <w:sz w:val="20"/>
          <w:szCs w:val="20"/>
        </w:rPr>
        <w:t>the preliminary GDP</w:t>
      </w:r>
      <w:r w:rsidR="004E6658">
        <w:rPr>
          <w:rFonts w:asciiTheme="majorHAnsi" w:eastAsiaTheme="minorHAnsi" w:hAnsiTheme="majorHAnsi" w:cstheme="majorHAnsi"/>
          <w:sz w:val="20"/>
          <w:szCs w:val="20"/>
        </w:rPr>
        <w:t xml:space="preserve"> </w:t>
      </w:r>
      <w:r w:rsidR="000F3C39">
        <w:rPr>
          <w:rFonts w:asciiTheme="majorHAnsi" w:eastAsiaTheme="minorHAnsi" w:hAnsiTheme="majorHAnsi" w:cstheme="majorHAnsi"/>
          <w:sz w:val="20"/>
          <w:szCs w:val="20"/>
        </w:rPr>
        <w:t xml:space="preserve">data, </w:t>
      </w:r>
      <w:r w:rsidR="004E6658">
        <w:rPr>
          <w:rFonts w:asciiTheme="majorHAnsi" w:eastAsiaTheme="minorHAnsi" w:hAnsiTheme="majorHAnsi" w:cstheme="majorHAnsi"/>
          <w:sz w:val="20"/>
          <w:szCs w:val="20"/>
        </w:rPr>
        <w:t xml:space="preserve">as </w:t>
      </w:r>
      <w:r w:rsidR="0021296A">
        <w:rPr>
          <w:rFonts w:asciiTheme="majorHAnsi" w:eastAsiaTheme="minorHAnsi" w:hAnsiTheme="majorHAnsi" w:cstheme="majorHAnsi"/>
          <w:sz w:val="20"/>
          <w:szCs w:val="20"/>
        </w:rPr>
        <w:t xml:space="preserve">the </w:t>
      </w:r>
      <w:r w:rsidR="004E6658">
        <w:rPr>
          <w:rFonts w:asciiTheme="majorHAnsi" w:eastAsiaTheme="minorHAnsi" w:hAnsiTheme="majorHAnsi" w:cstheme="majorHAnsi"/>
          <w:sz w:val="20"/>
          <w:szCs w:val="20"/>
        </w:rPr>
        <w:t>result of annual GDP compilation</w:t>
      </w:r>
      <w:r w:rsidR="000F3C39">
        <w:rPr>
          <w:rFonts w:asciiTheme="majorHAnsi" w:eastAsiaTheme="minorHAnsi" w:hAnsiTheme="majorHAnsi" w:cstheme="majorHAnsi"/>
          <w:sz w:val="20"/>
          <w:szCs w:val="20"/>
        </w:rPr>
        <w:t>,</w:t>
      </w:r>
      <w:r w:rsidR="004E6658" w:rsidRPr="00226FA1">
        <w:rPr>
          <w:rFonts w:asciiTheme="majorHAnsi" w:eastAsiaTheme="minorHAnsi" w:hAnsiTheme="majorHAnsi" w:cstheme="majorHAnsi"/>
          <w:sz w:val="20"/>
          <w:szCs w:val="20"/>
        </w:rPr>
        <w:t xml:space="preserve"> become</w:t>
      </w:r>
      <w:r w:rsidR="009E19F8">
        <w:rPr>
          <w:rFonts w:asciiTheme="majorHAnsi" w:eastAsiaTheme="minorHAnsi" w:hAnsiTheme="majorHAnsi" w:cstheme="majorHAnsi"/>
          <w:sz w:val="20"/>
          <w:szCs w:val="20"/>
        </w:rPr>
        <w:t>s</w:t>
      </w:r>
      <w:r w:rsidR="004E6658" w:rsidRPr="00226FA1">
        <w:rPr>
          <w:rFonts w:asciiTheme="majorHAnsi" w:eastAsiaTheme="minorHAnsi" w:hAnsiTheme="majorHAnsi" w:cstheme="majorHAnsi"/>
          <w:sz w:val="20"/>
          <w:szCs w:val="20"/>
        </w:rPr>
        <w:t xml:space="preserve"> available</w:t>
      </w:r>
      <w:r w:rsidR="004E6658">
        <w:rPr>
          <w:rFonts w:asciiTheme="majorHAnsi" w:eastAsiaTheme="minorHAnsi" w:hAnsiTheme="majorHAnsi" w:cstheme="majorHAnsi"/>
          <w:sz w:val="20"/>
          <w:szCs w:val="20"/>
        </w:rPr>
        <w:t xml:space="preserve">. In addition, </w:t>
      </w:r>
      <w:r w:rsidR="004E6658" w:rsidRPr="00226FA1">
        <w:rPr>
          <w:rFonts w:asciiTheme="majorHAnsi" w:eastAsiaTheme="minorHAnsi" w:hAnsiTheme="majorHAnsi" w:cstheme="majorHAnsi"/>
          <w:sz w:val="20"/>
          <w:szCs w:val="20"/>
        </w:rPr>
        <w:t>preliminary GDP</w:t>
      </w:r>
      <w:r w:rsidR="004E6658">
        <w:rPr>
          <w:rFonts w:asciiTheme="majorHAnsi" w:eastAsiaTheme="minorHAnsi" w:hAnsiTheme="majorHAnsi" w:cstheme="majorHAnsi"/>
          <w:sz w:val="20"/>
          <w:szCs w:val="20"/>
        </w:rPr>
        <w:t xml:space="preserve"> data </w:t>
      </w:r>
      <w:r w:rsidR="004E6658" w:rsidRPr="005E26A2">
        <w:rPr>
          <w:rFonts w:asciiTheme="majorHAnsi" w:eastAsiaTheme="minorHAnsi" w:hAnsiTheme="majorHAnsi" w:cstheme="majorHAnsi"/>
          <w:sz w:val="20"/>
          <w:szCs w:val="20"/>
        </w:rPr>
        <w:t>for year t-2</w:t>
      </w:r>
      <w:r w:rsidR="004E6658">
        <w:rPr>
          <w:rFonts w:asciiTheme="majorHAnsi" w:eastAsiaTheme="minorHAnsi" w:hAnsiTheme="majorHAnsi" w:cstheme="majorHAnsi"/>
          <w:sz w:val="20"/>
          <w:szCs w:val="20"/>
        </w:rPr>
        <w:t xml:space="preserve"> </w:t>
      </w:r>
      <w:r w:rsidR="009E19F8">
        <w:rPr>
          <w:rFonts w:asciiTheme="majorHAnsi" w:eastAsiaTheme="minorHAnsi" w:hAnsiTheme="majorHAnsi" w:cstheme="majorHAnsi"/>
          <w:sz w:val="20"/>
          <w:szCs w:val="20"/>
        </w:rPr>
        <w:t>is</w:t>
      </w:r>
      <w:r w:rsidR="004E6658">
        <w:rPr>
          <w:rFonts w:asciiTheme="majorHAnsi" w:eastAsiaTheme="minorHAnsi" w:hAnsiTheme="majorHAnsi" w:cstheme="majorHAnsi"/>
          <w:sz w:val="20"/>
          <w:szCs w:val="20"/>
        </w:rPr>
        <w:t xml:space="preserve"> revised</w:t>
      </w:r>
      <w:r w:rsidR="004E6658" w:rsidRPr="004E6658">
        <w:rPr>
          <w:rFonts w:asciiTheme="majorHAnsi" w:eastAsiaTheme="minorHAnsi" w:hAnsiTheme="majorHAnsi" w:cstheme="majorHAnsi"/>
          <w:sz w:val="20"/>
          <w:szCs w:val="20"/>
        </w:rPr>
        <w:t xml:space="preserve"> </w:t>
      </w:r>
      <w:r w:rsidR="004E6658" w:rsidRPr="00226FA1">
        <w:rPr>
          <w:rFonts w:asciiTheme="majorHAnsi" w:eastAsiaTheme="minorHAnsi" w:hAnsiTheme="majorHAnsi" w:cstheme="majorHAnsi"/>
          <w:sz w:val="20"/>
          <w:szCs w:val="20"/>
        </w:rPr>
        <w:t>based on the results of input-output statistics, i.e. supply and use tables.</w:t>
      </w:r>
    </w:p>
    <w:p w14:paraId="3CCAC1C7" w14:textId="6FAFB6F6" w:rsidR="003C2890" w:rsidRPr="004560A2" w:rsidRDefault="003C2890" w:rsidP="003C2890">
      <w:pPr>
        <w:jc w:val="center"/>
        <w:rPr>
          <w:rFonts w:asciiTheme="majorHAnsi" w:eastAsiaTheme="minorHAnsi" w:hAnsiTheme="majorHAnsi" w:cstheme="majorHAnsi"/>
          <w:b/>
          <w:bCs/>
          <w:sz w:val="20"/>
          <w:szCs w:val="20"/>
        </w:rPr>
      </w:pPr>
      <w:r>
        <w:rPr>
          <w:rFonts w:asciiTheme="majorHAnsi" w:eastAsiaTheme="minorHAnsi" w:hAnsiTheme="majorHAnsi" w:cstheme="majorHAnsi"/>
          <w:b/>
          <w:bCs/>
          <w:sz w:val="20"/>
          <w:szCs w:val="20"/>
        </w:rPr>
        <w:t>Regional</w:t>
      </w:r>
      <w:r w:rsidRPr="004560A2">
        <w:rPr>
          <w:rFonts w:asciiTheme="majorHAnsi" w:eastAsiaTheme="minorHAnsi" w:hAnsiTheme="majorHAnsi" w:cstheme="majorHAnsi"/>
          <w:b/>
          <w:bCs/>
          <w:sz w:val="20"/>
          <w:szCs w:val="20"/>
        </w:rPr>
        <w:t xml:space="preserve"> data</w:t>
      </w:r>
    </w:p>
    <w:tbl>
      <w:tblPr>
        <w:tblStyle w:val="TableGrid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21"/>
        <w:gridCol w:w="1429"/>
        <w:gridCol w:w="1870"/>
      </w:tblGrid>
      <w:tr w:rsidR="003C2890" w:rsidRPr="00226FA1" w14:paraId="2A0993CC" w14:textId="77777777" w:rsidTr="00AB1172">
        <w:trPr>
          <w:trHeight w:val="416"/>
          <w:jc w:val="center"/>
        </w:trPr>
        <w:tc>
          <w:tcPr>
            <w:tcW w:w="2321" w:type="dxa"/>
            <w:tcBorders>
              <w:top w:val="single" w:sz="8" w:space="0" w:color="auto"/>
              <w:bottom w:val="nil"/>
            </w:tcBorders>
            <w:shd w:val="clear" w:color="auto" w:fill="E2EFD9" w:themeFill="accent6" w:themeFillTint="33"/>
            <w:vAlign w:val="center"/>
          </w:tcPr>
          <w:p w14:paraId="4978B679" w14:textId="77777777" w:rsidR="003C2890" w:rsidRPr="00226FA1" w:rsidRDefault="003C2890" w:rsidP="008A3384">
            <w:pPr>
              <w:rPr>
                <w:rFonts w:ascii="Calibri" w:hAnsi="Calibri" w:cs="Calibri"/>
                <w:b/>
                <w:sz w:val="18"/>
                <w:szCs w:val="18"/>
              </w:rPr>
            </w:pPr>
          </w:p>
        </w:tc>
        <w:tc>
          <w:tcPr>
            <w:tcW w:w="3299" w:type="dxa"/>
            <w:gridSpan w:val="2"/>
            <w:tcBorders>
              <w:top w:val="single" w:sz="8" w:space="0" w:color="auto"/>
              <w:bottom w:val="nil"/>
            </w:tcBorders>
            <w:shd w:val="clear" w:color="auto" w:fill="E2EFD9" w:themeFill="accent6" w:themeFillTint="33"/>
            <w:vAlign w:val="center"/>
          </w:tcPr>
          <w:p w14:paraId="36FD2F3A" w14:textId="77777777" w:rsidR="003C2890" w:rsidRPr="00226FA1" w:rsidRDefault="003C2890" w:rsidP="008A3384">
            <w:pPr>
              <w:jc w:val="center"/>
              <w:rPr>
                <w:rFonts w:ascii="Calibri" w:hAnsi="Calibri" w:cs="Calibri"/>
                <w:b/>
                <w:sz w:val="18"/>
                <w:szCs w:val="18"/>
              </w:rPr>
            </w:pPr>
            <w:r>
              <w:rPr>
                <w:rFonts w:ascii="Calibri" w:hAnsi="Calibri" w:cs="Calibri"/>
                <w:b/>
                <w:sz w:val="18"/>
                <w:szCs w:val="18"/>
              </w:rPr>
              <w:t>Date of release</w:t>
            </w:r>
          </w:p>
        </w:tc>
      </w:tr>
      <w:tr w:rsidR="00FF7CA5" w:rsidRPr="00226FA1" w14:paraId="7668A41C" w14:textId="77777777" w:rsidTr="00AB1172">
        <w:trPr>
          <w:trHeight w:val="416"/>
          <w:jc w:val="center"/>
        </w:trPr>
        <w:tc>
          <w:tcPr>
            <w:tcW w:w="2321" w:type="dxa"/>
            <w:tcBorders>
              <w:top w:val="nil"/>
              <w:bottom w:val="single" w:sz="4" w:space="0" w:color="A8D08D" w:themeColor="accent6" w:themeTint="99"/>
            </w:tcBorders>
            <w:shd w:val="clear" w:color="auto" w:fill="E2EFD9" w:themeFill="accent6" w:themeFillTint="33"/>
            <w:vAlign w:val="center"/>
          </w:tcPr>
          <w:p w14:paraId="4C77B6C6" w14:textId="77777777" w:rsidR="00FF7CA5" w:rsidRPr="00226FA1" w:rsidRDefault="00FF7CA5" w:rsidP="00FF7CA5">
            <w:pPr>
              <w:jc w:val="center"/>
              <w:rPr>
                <w:rFonts w:ascii="Calibri" w:hAnsi="Calibri" w:cs="Calibri"/>
                <w:b/>
                <w:sz w:val="18"/>
                <w:szCs w:val="18"/>
              </w:rPr>
            </w:pPr>
            <w:r w:rsidRPr="00226FA1">
              <w:rPr>
                <w:rFonts w:ascii="Calibri" w:hAnsi="Calibri" w:cs="Calibri"/>
                <w:b/>
                <w:sz w:val="18"/>
                <w:szCs w:val="18"/>
              </w:rPr>
              <w:t xml:space="preserve">Year </w:t>
            </w:r>
            <w:r>
              <w:rPr>
                <w:rFonts w:ascii="Calibri" w:hAnsi="Calibri" w:cs="Calibri"/>
                <w:b/>
                <w:sz w:val="18"/>
                <w:szCs w:val="18"/>
              </w:rPr>
              <w:t>t</w:t>
            </w:r>
          </w:p>
          <w:p w14:paraId="27ABB694" w14:textId="77777777" w:rsidR="00FF7CA5" w:rsidRPr="00226FA1" w:rsidRDefault="00FF7CA5" w:rsidP="00FF7CA5">
            <w:pPr>
              <w:jc w:val="center"/>
              <w:rPr>
                <w:rFonts w:ascii="Calibri" w:hAnsi="Calibri" w:cs="Calibri"/>
                <w:b/>
                <w:sz w:val="18"/>
                <w:szCs w:val="18"/>
              </w:rPr>
            </w:pPr>
          </w:p>
        </w:tc>
        <w:tc>
          <w:tcPr>
            <w:tcW w:w="1429" w:type="dxa"/>
            <w:tcBorders>
              <w:top w:val="nil"/>
              <w:bottom w:val="single" w:sz="4" w:space="0" w:color="A8D08D" w:themeColor="accent6" w:themeTint="99"/>
            </w:tcBorders>
            <w:shd w:val="clear" w:color="auto" w:fill="E2EFD9" w:themeFill="accent6" w:themeFillTint="33"/>
            <w:vAlign w:val="center"/>
          </w:tcPr>
          <w:p w14:paraId="01880DC8" w14:textId="11AFDB69" w:rsidR="00FF7CA5" w:rsidRPr="00226FA1" w:rsidRDefault="00FF7CA5" w:rsidP="00FF7CA5">
            <w:pPr>
              <w:jc w:val="center"/>
              <w:rPr>
                <w:rFonts w:ascii="Calibri" w:hAnsi="Calibri" w:cs="Calibri"/>
                <w:b/>
                <w:sz w:val="18"/>
                <w:szCs w:val="18"/>
              </w:rPr>
            </w:pPr>
            <w:r>
              <w:rPr>
                <w:rFonts w:ascii="Calibri" w:hAnsi="Calibri" w:cs="Calibri"/>
                <w:b/>
                <w:sz w:val="18"/>
                <w:szCs w:val="18"/>
              </w:rPr>
              <w:t>31 March</w:t>
            </w:r>
          </w:p>
        </w:tc>
        <w:tc>
          <w:tcPr>
            <w:tcW w:w="1870" w:type="dxa"/>
            <w:tcBorders>
              <w:top w:val="nil"/>
              <w:bottom w:val="single" w:sz="4" w:space="0" w:color="A8D08D" w:themeColor="accent6" w:themeTint="99"/>
            </w:tcBorders>
            <w:shd w:val="clear" w:color="auto" w:fill="E2EFD9" w:themeFill="accent6" w:themeFillTint="33"/>
            <w:vAlign w:val="center"/>
          </w:tcPr>
          <w:p w14:paraId="652C7A9C" w14:textId="1EE46EE1" w:rsidR="00FF7CA5" w:rsidRPr="00226FA1" w:rsidRDefault="00FF7CA5" w:rsidP="00FF7CA5">
            <w:pPr>
              <w:jc w:val="center"/>
              <w:rPr>
                <w:rFonts w:ascii="Calibri" w:hAnsi="Calibri" w:cs="Calibri"/>
                <w:b/>
                <w:sz w:val="18"/>
                <w:szCs w:val="18"/>
              </w:rPr>
            </w:pPr>
            <w:r>
              <w:rPr>
                <w:rFonts w:ascii="Calibri" w:hAnsi="Calibri" w:cs="Calibri"/>
                <w:b/>
                <w:sz w:val="18"/>
                <w:szCs w:val="18"/>
              </w:rPr>
              <w:t>30 November</w:t>
            </w:r>
          </w:p>
        </w:tc>
      </w:tr>
      <w:tr w:rsidR="00C26B86" w:rsidRPr="00226FA1" w14:paraId="48482D48" w14:textId="77777777" w:rsidTr="00AB1172">
        <w:trPr>
          <w:trHeight w:val="368"/>
          <w:jc w:val="center"/>
        </w:trPr>
        <w:tc>
          <w:tcPr>
            <w:tcW w:w="2321" w:type="dxa"/>
            <w:tcBorders>
              <w:top w:val="single" w:sz="4" w:space="0" w:color="A8D08D" w:themeColor="accent6" w:themeTint="99"/>
              <w:bottom w:val="single" w:sz="4" w:space="0" w:color="A8D08D" w:themeColor="accent6" w:themeTint="99"/>
            </w:tcBorders>
            <w:vAlign w:val="center"/>
          </w:tcPr>
          <w:p w14:paraId="56E0E1E6" w14:textId="77777777" w:rsidR="00C26B86" w:rsidRPr="00226FA1" w:rsidRDefault="00C26B86" w:rsidP="003E6914">
            <w:pPr>
              <w:rPr>
                <w:rFonts w:ascii="Calibri" w:hAnsi="Calibri" w:cs="Calibri"/>
                <w:b/>
                <w:sz w:val="18"/>
                <w:szCs w:val="18"/>
              </w:rPr>
            </w:pPr>
            <w:r w:rsidRPr="001877A3">
              <w:rPr>
                <w:rFonts w:ascii="Calibri" w:hAnsi="Calibri" w:cs="Calibri"/>
                <w:b/>
                <w:sz w:val="18"/>
                <w:szCs w:val="18"/>
              </w:rPr>
              <w:t>Latest full year available</w:t>
            </w:r>
          </w:p>
        </w:tc>
        <w:tc>
          <w:tcPr>
            <w:tcW w:w="1429" w:type="dxa"/>
            <w:tcBorders>
              <w:top w:val="single" w:sz="4" w:space="0" w:color="A8D08D" w:themeColor="accent6" w:themeTint="99"/>
              <w:bottom w:val="single" w:sz="4" w:space="0" w:color="A8D08D" w:themeColor="accent6" w:themeTint="99"/>
            </w:tcBorders>
            <w:vAlign w:val="center"/>
          </w:tcPr>
          <w:p w14:paraId="0C4725C6" w14:textId="20EB987E" w:rsidR="00C26B86" w:rsidRPr="00226FA1" w:rsidRDefault="00C26B86" w:rsidP="003E6914">
            <w:pPr>
              <w:jc w:val="center"/>
              <w:rPr>
                <w:rFonts w:ascii="Calibri" w:hAnsi="Calibri" w:cs="Calibri"/>
                <w:sz w:val="18"/>
                <w:szCs w:val="18"/>
              </w:rPr>
            </w:pPr>
            <w:r>
              <w:rPr>
                <w:rFonts w:ascii="Calibri" w:hAnsi="Calibri" w:cs="Calibri"/>
                <w:sz w:val="18"/>
                <w:szCs w:val="18"/>
              </w:rPr>
              <w:t>Year t-2</w:t>
            </w:r>
          </w:p>
        </w:tc>
        <w:tc>
          <w:tcPr>
            <w:tcW w:w="1870" w:type="dxa"/>
            <w:tcBorders>
              <w:top w:val="single" w:sz="4" w:space="0" w:color="A8D08D" w:themeColor="accent6" w:themeTint="99"/>
              <w:bottom w:val="single" w:sz="4" w:space="0" w:color="A8D08D" w:themeColor="accent6" w:themeTint="99"/>
            </w:tcBorders>
            <w:vAlign w:val="center"/>
          </w:tcPr>
          <w:p w14:paraId="35102AD6" w14:textId="0945E3F5" w:rsidR="00C26B86" w:rsidRPr="00226FA1" w:rsidRDefault="00C26B86" w:rsidP="003E6914">
            <w:pPr>
              <w:jc w:val="center"/>
              <w:rPr>
                <w:rFonts w:ascii="Calibri" w:hAnsi="Calibri" w:cs="Calibri"/>
                <w:sz w:val="18"/>
                <w:szCs w:val="18"/>
              </w:rPr>
            </w:pPr>
            <w:r>
              <w:rPr>
                <w:rFonts w:ascii="Calibri" w:hAnsi="Calibri" w:cs="Calibri"/>
                <w:sz w:val="18"/>
                <w:szCs w:val="18"/>
              </w:rPr>
              <w:t xml:space="preserve">Year </w:t>
            </w:r>
            <w:r w:rsidRPr="008D3F3B">
              <w:rPr>
                <w:rFonts w:ascii="Calibri" w:hAnsi="Calibri" w:cs="Calibri"/>
                <w:sz w:val="18"/>
                <w:szCs w:val="18"/>
              </w:rPr>
              <w:t>t-1</w:t>
            </w:r>
          </w:p>
        </w:tc>
      </w:tr>
      <w:tr w:rsidR="00C26B86" w:rsidRPr="00226FA1" w14:paraId="4C416FCF" w14:textId="77777777" w:rsidTr="00AB1172">
        <w:trPr>
          <w:jc w:val="center"/>
        </w:trPr>
        <w:tc>
          <w:tcPr>
            <w:tcW w:w="2321" w:type="dxa"/>
            <w:tcBorders>
              <w:top w:val="single" w:sz="4" w:space="0" w:color="A8D08D" w:themeColor="accent6" w:themeTint="99"/>
              <w:bottom w:val="single" w:sz="8" w:space="0" w:color="auto"/>
            </w:tcBorders>
            <w:vAlign w:val="center"/>
          </w:tcPr>
          <w:p w14:paraId="13FDFF52" w14:textId="77777777" w:rsidR="00C26B86" w:rsidRPr="00226FA1" w:rsidRDefault="00C26B86" w:rsidP="00D35D21">
            <w:pPr>
              <w:rPr>
                <w:rFonts w:ascii="Calibri" w:hAnsi="Calibri" w:cs="Calibri"/>
                <w:b/>
                <w:sz w:val="18"/>
                <w:szCs w:val="18"/>
              </w:rPr>
            </w:pPr>
            <w:r w:rsidRPr="00226FA1">
              <w:rPr>
                <w:rFonts w:ascii="Calibri" w:hAnsi="Calibri" w:cs="Calibri"/>
                <w:b/>
                <w:sz w:val="18"/>
                <w:szCs w:val="18"/>
              </w:rPr>
              <w:t>Depth of revisions (max)</w:t>
            </w:r>
          </w:p>
        </w:tc>
        <w:tc>
          <w:tcPr>
            <w:tcW w:w="1429" w:type="dxa"/>
            <w:tcBorders>
              <w:top w:val="single" w:sz="4" w:space="0" w:color="A8D08D" w:themeColor="accent6" w:themeTint="99"/>
              <w:bottom w:val="single" w:sz="8" w:space="0" w:color="auto"/>
            </w:tcBorders>
            <w:vAlign w:val="center"/>
          </w:tcPr>
          <w:p w14:paraId="5BA76D5D" w14:textId="577A4D3B" w:rsidR="00C26B86" w:rsidRPr="008D3F3B" w:rsidRDefault="00C26B86" w:rsidP="00B20D75">
            <w:pPr>
              <w:jc w:val="center"/>
              <w:rPr>
                <w:rFonts w:ascii="Calibri" w:hAnsi="Calibri" w:cs="Calibri"/>
                <w:b/>
                <w:sz w:val="18"/>
                <w:szCs w:val="18"/>
              </w:rPr>
            </w:pPr>
            <w:r>
              <w:rPr>
                <w:rFonts w:ascii="Calibri" w:hAnsi="Calibri" w:cs="Calibri"/>
                <w:b/>
                <w:sz w:val="18"/>
                <w:szCs w:val="18"/>
              </w:rPr>
              <w:t>1 year</w:t>
            </w:r>
          </w:p>
          <w:p w14:paraId="1238B04D" w14:textId="6578D847" w:rsidR="00C26B86" w:rsidRPr="00226FA1" w:rsidRDefault="00C26B86" w:rsidP="00700BBA">
            <w:pPr>
              <w:jc w:val="center"/>
              <w:rPr>
                <w:rFonts w:ascii="Calibri" w:hAnsi="Calibri" w:cs="Calibri"/>
                <w:sz w:val="18"/>
                <w:szCs w:val="18"/>
              </w:rPr>
            </w:pPr>
            <w:r>
              <w:rPr>
                <w:rFonts w:ascii="Calibri" w:hAnsi="Calibri" w:cs="Calibri"/>
                <w:sz w:val="18"/>
                <w:szCs w:val="18"/>
              </w:rPr>
              <w:t>Year t-3</w:t>
            </w:r>
          </w:p>
        </w:tc>
        <w:tc>
          <w:tcPr>
            <w:tcW w:w="1870" w:type="dxa"/>
            <w:tcBorders>
              <w:top w:val="single" w:sz="4" w:space="0" w:color="A8D08D" w:themeColor="accent6" w:themeTint="99"/>
              <w:bottom w:val="single" w:sz="8" w:space="0" w:color="auto"/>
            </w:tcBorders>
            <w:vAlign w:val="center"/>
          </w:tcPr>
          <w:p w14:paraId="4E9526F5" w14:textId="3815A509" w:rsidR="00C26B86" w:rsidRPr="008D3F3B" w:rsidRDefault="00C26B86" w:rsidP="008D3F3B">
            <w:pPr>
              <w:jc w:val="center"/>
              <w:rPr>
                <w:rFonts w:ascii="Calibri" w:hAnsi="Calibri" w:cs="Calibri"/>
                <w:b/>
                <w:sz w:val="18"/>
                <w:szCs w:val="18"/>
              </w:rPr>
            </w:pPr>
            <w:r>
              <w:rPr>
                <w:rFonts w:ascii="Calibri" w:hAnsi="Calibri" w:cs="Calibri"/>
                <w:b/>
                <w:sz w:val="18"/>
                <w:szCs w:val="18"/>
              </w:rPr>
              <w:t>1 year</w:t>
            </w:r>
          </w:p>
          <w:p w14:paraId="092E3204" w14:textId="2FB4BDE6" w:rsidR="00C26B86" w:rsidRPr="00226FA1" w:rsidRDefault="00C26B86" w:rsidP="00700BBA">
            <w:pPr>
              <w:jc w:val="center"/>
              <w:rPr>
                <w:rFonts w:ascii="Calibri" w:hAnsi="Calibri" w:cs="Calibri"/>
                <w:sz w:val="18"/>
                <w:szCs w:val="18"/>
              </w:rPr>
            </w:pPr>
            <w:r>
              <w:rPr>
                <w:rFonts w:ascii="Calibri" w:hAnsi="Calibri" w:cs="Calibri"/>
                <w:sz w:val="18"/>
                <w:szCs w:val="18"/>
              </w:rPr>
              <w:t>Year t-2</w:t>
            </w:r>
          </w:p>
        </w:tc>
      </w:tr>
    </w:tbl>
    <w:p w14:paraId="3B83E645" w14:textId="72D47906" w:rsidR="003C2890" w:rsidRDefault="003C2890" w:rsidP="001B7D1B">
      <w:pPr>
        <w:jc w:val="both"/>
        <w:rPr>
          <w:rFonts w:asciiTheme="majorHAnsi" w:eastAsiaTheme="minorHAnsi" w:hAnsiTheme="majorHAnsi" w:cstheme="majorHAnsi"/>
          <w:sz w:val="20"/>
          <w:szCs w:val="20"/>
        </w:rPr>
      </w:pPr>
    </w:p>
    <w:p w14:paraId="50C2D661" w14:textId="29FF3F7B" w:rsidR="00422833" w:rsidRPr="0094529B" w:rsidRDefault="00422833" w:rsidP="00422833">
      <w:pPr>
        <w:jc w:val="both"/>
        <w:rPr>
          <w:rFonts w:asciiTheme="majorHAnsi" w:eastAsiaTheme="minorHAnsi" w:hAnsiTheme="majorHAnsi" w:cstheme="majorHAnsi"/>
          <w:sz w:val="20"/>
          <w:szCs w:val="20"/>
        </w:rPr>
      </w:pPr>
      <w:r w:rsidRPr="00422833">
        <w:rPr>
          <w:rFonts w:asciiTheme="majorHAnsi" w:eastAsiaTheme="minorHAnsi" w:hAnsiTheme="majorHAnsi" w:cstheme="majorHAnsi"/>
          <w:sz w:val="20"/>
          <w:szCs w:val="20"/>
        </w:rPr>
        <w:t xml:space="preserve">Preliminary data on regional GDP for year t-2 are revised based on the results of supply and use tables and input-output tables. In March of the following year, based on the previously revised GDP at the level of </w:t>
      </w:r>
      <w:r w:rsidRPr="000441FB">
        <w:rPr>
          <w:rFonts w:asciiTheme="majorHAnsi" w:eastAsiaTheme="minorHAnsi" w:hAnsiTheme="majorHAnsi" w:cstheme="majorHAnsi"/>
          <w:i/>
          <w:iCs/>
          <w:sz w:val="20"/>
          <w:szCs w:val="20"/>
        </w:rPr>
        <w:t>NSTJ2</w:t>
      </w:r>
      <w:r w:rsidRPr="00422833">
        <w:rPr>
          <w:rFonts w:asciiTheme="majorHAnsi" w:eastAsiaTheme="minorHAnsi" w:hAnsiTheme="majorHAnsi" w:cstheme="majorHAnsi"/>
          <w:sz w:val="20"/>
          <w:szCs w:val="20"/>
        </w:rPr>
        <w:t xml:space="preserve">, the data on regional GVA at the level of </w:t>
      </w:r>
      <w:r w:rsidRPr="000441FB">
        <w:rPr>
          <w:rFonts w:asciiTheme="majorHAnsi" w:eastAsiaTheme="minorHAnsi" w:hAnsiTheme="majorHAnsi" w:cstheme="majorHAnsi"/>
          <w:i/>
          <w:iCs/>
          <w:sz w:val="20"/>
          <w:szCs w:val="20"/>
        </w:rPr>
        <w:t>NSTJ3</w:t>
      </w:r>
      <w:r w:rsidRPr="00422833">
        <w:rPr>
          <w:rFonts w:asciiTheme="majorHAnsi" w:eastAsiaTheme="minorHAnsi" w:hAnsiTheme="majorHAnsi" w:cstheme="majorHAnsi"/>
          <w:sz w:val="20"/>
          <w:szCs w:val="20"/>
        </w:rPr>
        <w:t xml:space="preserve"> are revised, by activities (</w:t>
      </w:r>
      <w:r w:rsidRPr="0094529B">
        <w:rPr>
          <w:rFonts w:asciiTheme="majorHAnsi" w:eastAsiaTheme="minorHAnsi" w:hAnsiTheme="majorHAnsi" w:cstheme="majorHAnsi"/>
          <w:sz w:val="20"/>
          <w:szCs w:val="20"/>
        </w:rPr>
        <w:t>A10) for the year t-3.</w:t>
      </w:r>
    </w:p>
    <w:p w14:paraId="769A8DFF" w14:textId="0D0122A2" w:rsidR="00C020A1" w:rsidRPr="0094529B" w:rsidRDefault="00E30495" w:rsidP="00422833">
      <w:pPr>
        <w:jc w:val="both"/>
        <w:rPr>
          <w:rFonts w:asciiTheme="majorHAnsi" w:eastAsiaTheme="minorHAnsi" w:hAnsiTheme="majorHAnsi" w:cstheme="majorHAnsi"/>
          <w:sz w:val="20"/>
          <w:szCs w:val="20"/>
        </w:rPr>
      </w:pPr>
      <w:r w:rsidRPr="0094529B">
        <w:rPr>
          <w:rFonts w:asciiTheme="majorHAnsi" w:eastAsiaTheme="minorHAnsi" w:hAnsiTheme="majorHAnsi" w:cstheme="majorHAnsi"/>
          <w:sz w:val="20"/>
          <w:szCs w:val="20"/>
        </w:rPr>
        <w:t>SUT-IOT</w:t>
      </w:r>
      <w:r w:rsidR="00286904" w:rsidRPr="0094529B">
        <w:rPr>
          <w:rFonts w:asciiTheme="majorHAnsi" w:eastAsiaTheme="minorHAnsi" w:hAnsiTheme="majorHAnsi" w:cstheme="majorHAnsi"/>
          <w:sz w:val="20"/>
          <w:szCs w:val="20"/>
        </w:rPr>
        <w:t xml:space="preserve"> for </w:t>
      </w:r>
      <w:r w:rsidR="009B0832" w:rsidRPr="0094529B">
        <w:rPr>
          <w:rFonts w:asciiTheme="majorHAnsi" w:eastAsiaTheme="minorHAnsi" w:hAnsiTheme="majorHAnsi" w:cstheme="majorHAnsi"/>
          <w:sz w:val="20"/>
          <w:szCs w:val="20"/>
        </w:rPr>
        <w:t xml:space="preserve">a </w:t>
      </w:r>
      <w:r w:rsidR="00286904" w:rsidRPr="0094529B">
        <w:rPr>
          <w:rFonts w:asciiTheme="majorHAnsi" w:eastAsiaTheme="minorHAnsi" w:hAnsiTheme="majorHAnsi" w:cstheme="majorHAnsi"/>
          <w:sz w:val="20"/>
          <w:szCs w:val="20"/>
        </w:rPr>
        <w:t>specific year are released only once,</w:t>
      </w:r>
      <w:r w:rsidR="00381D53">
        <w:rPr>
          <w:rFonts w:asciiTheme="majorHAnsi" w:eastAsiaTheme="minorHAnsi" w:hAnsiTheme="majorHAnsi" w:cstheme="majorHAnsi"/>
          <w:sz w:val="20"/>
          <w:szCs w:val="20"/>
        </w:rPr>
        <w:t xml:space="preserve"> </w:t>
      </w:r>
      <w:r w:rsidR="00286904" w:rsidRPr="0094529B">
        <w:rPr>
          <w:rFonts w:asciiTheme="majorHAnsi" w:eastAsiaTheme="minorHAnsi" w:hAnsiTheme="majorHAnsi" w:cstheme="majorHAnsi"/>
          <w:sz w:val="20"/>
          <w:szCs w:val="20"/>
        </w:rPr>
        <w:t>and</w:t>
      </w:r>
      <w:r w:rsidR="00381D53">
        <w:rPr>
          <w:rFonts w:asciiTheme="majorHAnsi" w:eastAsiaTheme="minorHAnsi" w:hAnsiTheme="majorHAnsi" w:cstheme="majorHAnsi"/>
          <w:sz w:val="20"/>
          <w:szCs w:val="20"/>
        </w:rPr>
        <w:t xml:space="preserve"> they</w:t>
      </w:r>
      <w:r w:rsidR="00286904" w:rsidRPr="0094529B">
        <w:rPr>
          <w:rFonts w:asciiTheme="majorHAnsi" w:eastAsiaTheme="minorHAnsi" w:hAnsiTheme="majorHAnsi" w:cstheme="majorHAnsi"/>
          <w:sz w:val="20"/>
          <w:szCs w:val="20"/>
        </w:rPr>
        <w:t xml:space="preserve"> are not subject </w:t>
      </w:r>
      <w:r w:rsidR="00C020A1" w:rsidRPr="0094529B">
        <w:rPr>
          <w:rFonts w:asciiTheme="majorHAnsi" w:eastAsiaTheme="minorHAnsi" w:hAnsiTheme="majorHAnsi" w:cstheme="majorHAnsi"/>
          <w:sz w:val="20"/>
          <w:szCs w:val="20"/>
        </w:rPr>
        <w:t>to</w:t>
      </w:r>
      <w:r w:rsidR="00286904" w:rsidRPr="0094529B">
        <w:rPr>
          <w:rFonts w:asciiTheme="majorHAnsi" w:eastAsiaTheme="minorHAnsi" w:hAnsiTheme="majorHAnsi" w:cstheme="majorHAnsi"/>
          <w:sz w:val="20"/>
          <w:szCs w:val="20"/>
        </w:rPr>
        <w:t xml:space="preserve"> revision</w:t>
      </w:r>
      <w:r w:rsidR="00837CD9" w:rsidRPr="0094529B">
        <w:rPr>
          <w:rFonts w:asciiTheme="majorHAnsi" w:eastAsiaTheme="minorHAnsi" w:hAnsiTheme="majorHAnsi" w:cstheme="majorHAnsi"/>
          <w:sz w:val="20"/>
          <w:szCs w:val="20"/>
        </w:rPr>
        <w:t xml:space="preserve"> (except in the case of major revisions</w:t>
      </w:r>
      <w:r w:rsidR="00837CD9" w:rsidRPr="0094529B">
        <w:rPr>
          <w:rStyle w:val="FootnoteReference"/>
          <w:rFonts w:asciiTheme="majorHAnsi" w:eastAsiaTheme="minorHAnsi" w:hAnsiTheme="majorHAnsi" w:cstheme="majorHAnsi"/>
          <w:sz w:val="20"/>
          <w:szCs w:val="20"/>
        </w:rPr>
        <w:footnoteReference w:id="3"/>
      </w:r>
      <w:r w:rsidR="00E21A3E" w:rsidRPr="0094529B">
        <w:rPr>
          <w:rFonts w:asciiTheme="majorHAnsi" w:eastAsiaTheme="minorHAnsi" w:hAnsiTheme="majorHAnsi" w:cstheme="majorHAnsi"/>
          <w:sz w:val="20"/>
          <w:szCs w:val="20"/>
        </w:rPr>
        <w:t>).</w:t>
      </w:r>
    </w:p>
    <w:p w14:paraId="68092207" w14:textId="6E9D8AD4" w:rsidR="008775ED" w:rsidRPr="00540D86" w:rsidRDefault="00C925C3" w:rsidP="008775ED">
      <w:pPr>
        <w:rPr>
          <w:rFonts w:asciiTheme="majorHAnsi" w:eastAsiaTheme="minorHAnsi" w:hAnsiTheme="majorHAnsi" w:cstheme="majorHAnsi"/>
          <w:sz w:val="20"/>
          <w:szCs w:val="20"/>
        </w:rPr>
      </w:pPr>
      <w:r>
        <w:rPr>
          <w:rFonts w:asciiTheme="majorHAnsi" w:hAnsiTheme="majorHAnsi" w:cstheme="majorHAnsi"/>
          <w:sz w:val="20"/>
          <w:szCs w:val="20"/>
        </w:rPr>
        <w:t>The r</w:t>
      </w:r>
      <w:r w:rsidR="00822E12" w:rsidRPr="0094529B">
        <w:rPr>
          <w:rFonts w:asciiTheme="majorHAnsi" w:hAnsiTheme="majorHAnsi" w:cstheme="majorHAnsi"/>
          <w:sz w:val="20"/>
          <w:szCs w:val="20"/>
        </w:rPr>
        <w:t>evision of g</w:t>
      </w:r>
      <w:r w:rsidR="00C020A1" w:rsidRPr="0094529B">
        <w:rPr>
          <w:rFonts w:asciiTheme="majorHAnsi" w:hAnsiTheme="majorHAnsi" w:cstheme="majorHAnsi"/>
          <w:sz w:val="20"/>
          <w:szCs w:val="20"/>
        </w:rPr>
        <w:t>overnment finance statistics</w:t>
      </w:r>
      <w:r w:rsidR="00C020A1" w:rsidRPr="0094529B">
        <w:rPr>
          <w:rFonts w:asciiTheme="majorHAnsi" w:eastAsiaTheme="minorHAnsi" w:hAnsiTheme="majorHAnsi" w:cstheme="majorHAnsi"/>
          <w:sz w:val="20"/>
          <w:szCs w:val="20"/>
        </w:rPr>
        <w:t xml:space="preserve"> </w:t>
      </w:r>
      <w:r w:rsidR="00822E12" w:rsidRPr="0094529B">
        <w:rPr>
          <w:rFonts w:asciiTheme="majorHAnsi" w:eastAsiaTheme="minorHAnsi" w:hAnsiTheme="majorHAnsi" w:cstheme="majorHAnsi"/>
          <w:sz w:val="20"/>
          <w:szCs w:val="20"/>
        </w:rPr>
        <w:t>currently follows the annual national</w:t>
      </w:r>
      <w:r w:rsidR="00822E12" w:rsidRPr="00540D86">
        <w:rPr>
          <w:rFonts w:asciiTheme="majorHAnsi" w:eastAsiaTheme="minorHAnsi" w:hAnsiTheme="majorHAnsi" w:cstheme="majorHAnsi"/>
          <w:sz w:val="20"/>
          <w:szCs w:val="20"/>
        </w:rPr>
        <w:t xml:space="preserve"> accounts revision practice.</w:t>
      </w:r>
      <w:r w:rsidR="008E41C5" w:rsidRPr="00540D86">
        <w:rPr>
          <w:rFonts w:asciiTheme="majorHAnsi" w:eastAsiaTheme="minorHAnsi" w:hAnsiTheme="majorHAnsi" w:cstheme="majorHAnsi"/>
          <w:sz w:val="20"/>
          <w:szCs w:val="20"/>
        </w:rPr>
        <w:br w:type="page"/>
      </w:r>
    </w:p>
    <w:p w14:paraId="503FA6A2" w14:textId="270D4BAC" w:rsidR="00551F58" w:rsidRPr="00226FA1" w:rsidRDefault="00551F58" w:rsidP="00551F58">
      <w:pPr>
        <w:pStyle w:val="Heading1"/>
      </w:pPr>
      <w:bookmarkStart w:id="3" w:name="_Toc130908747"/>
      <w:r w:rsidRPr="00226FA1">
        <w:lastRenderedPageBreak/>
        <w:t xml:space="preserve">Major revisions (or </w:t>
      </w:r>
      <w:r w:rsidR="00D06974" w:rsidRPr="00D06974">
        <w:t>b</w:t>
      </w:r>
      <w:r w:rsidRPr="00226FA1">
        <w:t>enchmark revisions)</w:t>
      </w:r>
      <w:bookmarkEnd w:id="3"/>
    </w:p>
    <w:p w14:paraId="34E86613" w14:textId="6FFE9728" w:rsidR="00551F58" w:rsidRPr="00226FA1" w:rsidRDefault="00551F58" w:rsidP="002E2F6A">
      <w:pPr>
        <w:jc w:val="both"/>
        <w:rPr>
          <w:rFonts w:asciiTheme="majorHAnsi" w:hAnsiTheme="majorHAnsi" w:cstheme="majorHAnsi"/>
          <w:sz w:val="20"/>
          <w:szCs w:val="20"/>
        </w:rPr>
      </w:pPr>
      <w:r w:rsidRPr="00226FA1">
        <w:rPr>
          <w:rFonts w:asciiTheme="majorHAnsi" w:hAnsiTheme="majorHAnsi" w:cstheme="majorHAnsi"/>
          <w:sz w:val="20"/>
          <w:szCs w:val="20"/>
        </w:rPr>
        <w:t xml:space="preserve">Major </w:t>
      </w:r>
      <w:r w:rsidR="00BE6C0A">
        <w:rPr>
          <w:rFonts w:asciiTheme="majorHAnsi" w:hAnsiTheme="majorHAnsi" w:cstheme="majorHAnsi"/>
          <w:sz w:val="20"/>
          <w:szCs w:val="20"/>
        </w:rPr>
        <w:t>(b</w:t>
      </w:r>
      <w:r w:rsidR="00BE6C0A" w:rsidRPr="00BE6C0A">
        <w:rPr>
          <w:rFonts w:asciiTheme="majorHAnsi" w:hAnsiTheme="majorHAnsi" w:cstheme="majorHAnsi"/>
          <w:sz w:val="20"/>
          <w:szCs w:val="20"/>
        </w:rPr>
        <w:t>enchmark</w:t>
      </w:r>
      <w:r w:rsidR="00633DCF">
        <w:rPr>
          <w:rFonts w:asciiTheme="majorHAnsi" w:hAnsiTheme="majorHAnsi" w:cstheme="majorHAnsi"/>
          <w:sz w:val="20"/>
          <w:szCs w:val="20"/>
        </w:rPr>
        <w:t>)</w:t>
      </w:r>
      <w:r w:rsidRPr="00226FA1">
        <w:rPr>
          <w:rFonts w:asciiTheme="majorHAnsi" w:hAnsiTheme="majorHAnsi" w:cstheme="majorHAnsi"/>
          <w:sz w:val="20"/>
          <w:szCs w:val="20"/>
        </w:rPr>
        <w:t xml:space="preserve"> revisions should </w:t>
      </w:r>
      <w:r w:rsidR="006629AC">
        <w:rPr>
          <w:rFonts w:asciiTheme="majorHAnsi" w:hAnsiTheme="majorHAnsi" w:cstheme="majorHAnsi"/>
          <w:sz w:val="20"/>
          <w:szCs w:val="20"/>
        </w:rPr>
        <w:t>be carried out</w:t>
      </w:r>
      <w:r w:rsidRPr="00226FA1">
        <w:rPr>
          <w:rFonts w:asciiTheme="majorHAnsi" w:hAnsiTheme="majorHAnsi" w:cstheme="majorHAnsi"/>
          <w:sz w:val="20"/>
          <w:szCs w:val="20"/>
        </w:rPr>
        <w:t xml:space="preserve"> once every five to ten years. </w:t>
      </w:r>
    </w:p>
    <w:p w14:paraId="5EC92F17" w14:textId="3EE84F5F" w:rsidR="00C020A1" w:rsidRDefault="00C020A1" w:rsidP="00C020A1">
      <w:pPr>
        <w:jc w:val="both"/>
        <w:rPr>
          <w:rFonts w:asciiTheme="majorHAnsi" w:hAnsiTheme="majorHAnsi" w:cstheme="majorHAnsi"/>
          <w:sz w:val="20"/>
          <w:szCs w:val="20"/>
        </w:rPr>
      </w:pPr>
      <w:r w:rsidRPr="00C020A1">
        <w:rPr>
          <w:rFonts w:asciiTheme="majorHAnsi" w:hAnsiTheme="majorHAnsi" w:cstheme="majorHAnsi"/>
          <w:sz w:val="20"/>
          <w:szCs w:val="20"/>
        </w:rPr>
        <w:t>Major revisions present planned and significant changes in</w:t>
      </w:r>
      <w:r w:rsidR="006629AC">
        <w:rPr>
          <w:rFonts w:asciiTheme="majorHAnsi" w:hAnsiTheme="majorHAnsi" w:cstheme="majorHAnsi"/>
          <w:sz w:val="20"/>
          <w:szCs w:val="20"/>
        </w:rPr>
        <w:t xml:space="preserve"> the</w:t>
      </w:r>
      <w:r w:rsidRPr="00C020A1">
        <w:rPr>
          <w:rFonts w:asciiTheme="majorHAnsi" w:hAnsiTheme="majorHAnsi" w:cstheme="majorHAnsi"/>
          <w:sz w:val="20"/>
          <w:szCs w:val="20"/>
        </w:rPr>
        <w:t xml:space="preserve"> published data, which are performed for one or more reasons</w:t>
      </w:r>
      <w:r>
        <w:rPr>
          <w:rFonts w:asciiTheme="majorHAnsi" w:hAnsiTheme="majorHAnsi" w:cstheme="majorHAnsi"/>
          <w:sz w:val="20"/>
          <w:szCs w:val="20"/>
        </w:rPr>
        <w:t>:</w:t>
      </w:r>
    </w:p>
    <w:p w14:paraId="4073A6EB" w14:textId="782A51FB" w:rsidR="00C020A1" w:rsidRPr="00C020A1" w:rsidRDefault="00C020A1" w:rsidP="00C020A1">
      <w:pPr>
        <w:pStyle w:val="ListParagraph"/>
        <w:numPr>
          <w:ilvl w:val="0"/>
          <w:numId w:val="25"/>
        </w:numPr>
        <w:jc w:val="both"/>
        <w:rPr>
          <w:rFonts w:asciiTheme="majorHAnsi" w:hAnsiTheme="majorHAnsi" w:cstheme="majorHAnsi"/>
          <w:sz w:val="20"/>
          <w:szCs w:val="20"/>
        </w:rPr>
      </w:pPr>
      <w:r w:rsidRPr="00C020A1">
        <w:rPr>
          <w:rFonts w:asciiTheme="majorHAnsi" w:hAnsiTheme="majorHAnsi" w:cstheme="majorHAnsi"/>
          <w:sz w:val="20"/>
          <w:szCs w:val="20"/>
        </w:rPr>
        <w:t xml:space="preserve">availability of new data that are collected at multi-annual </w:t>
      </w:r>
      <w:r w:rsidR="0024536E">
        <w:rPr>
          <w:rFonts w:asciiTheme="majorHAnsi" w:hAnsiTheme="majorHAnsi" w:cstheme="majorHAnsi"/>
          <w:sz w:val="20"/>
          <w:szCs w:val="20"/>
        </w:rPr>
        <w:t>basis</w:t>
      </w:r>
      <w:r w:rsidR="0024536E" w:rsidRPr="00C020A1">
        <w:rPr>
          <w:rFonts w:asciiTheme="majorHAnsi" w:hAnsiTheme="majorHAnsi" w:cstheme="majorHAnsi"/>
          <w:sz w:val="20"/>
          <w:szCs w:val="20"/>
        </w:rPr>
        <w:t xml:space="preserve"> </w:t>
      </w:r>
      <w:r w:rsidRPr="00C020A1">
        <w:rPr>
          <w:rFonts w:asciiTheme="majorHAnsi" w:hAnsiTheme="majorHAnsi" w:cstheme="majorHAnsi"/>
          <w:sz w:val="20"/>
          <w:szCs w:val="20"/>
        </w:rPr>
        <w:t xml:space="preserve">(5–10 years), such as censuses (population, agriculture, the economy), input-output tables, etc.; </w:t>
      </w:r>
    </w:p>
    <w:p w14:paraId="2FD76AAD" w14:textId="77777777" w:rsidR="00C020A1" w:rsidRPr="00C020A1" w:rsidRDefault="00C020A1" w:rsidP="00C020A1">
      <w:pPr>
        <w:pStyle w:val="ListParagraph"/>
        <w:numPr>
          <w:ilvl w:val="0"/>
          <w:numId w:val="25"/>
        </w:numPr>
        <w:jc w:val="both"/>
        <w:rPr>
          <w:rFonts w:asciiTheme="majorHAnsi" w:hAnsiTheme="majorHAnsi" w:cstheme="majorHAnsi"/>
          <w:sz w:val="20"/>
          <w:szCs w:val="20"/>
        </w:rPr>
      </w:pPr>
      <w:r w:rsidRPr="00C020A1">
        <w:rPr>
          <w:rFonts w:asciiTheme="majorHAnsi" w:hAnsiTheme="majorHAnsi" w:cstheme="majorHAnsi"/>
          <w:sz w:val="20"/>
          <w:szCs w:val="20"/>
        </w:rPr>
        <w:t>availability of new data sources (new statistical surveys or administrative data sources);</w:t>
      </w:r>
    </w:p>
    <w:p w14:paraId="76243880" w14:textId="77777777" w:rsidR="00C020A1" w:rsidRPr="00C020A1" w:rsidRDefault="00C020A1" w:rsidP="00C020A1">
      <w:pPr>
        <w:pStyle w:val="ListParagraph"/>
        <w:numPr>
          <w:ilvl w:val="0"/>
          <w:numId w:val="25"/>
        </w:numPr>
        <w:jc w:val="both"/>
        <w:rPr>
          <w:rFonts w:asciiTheme="majorHAnsi" w:hAnsiTheme="majorHAnsi" w:cstheme="majorHAnsi"/>
          <w:sz w:val="20"/>
          <w:szCs w:val="20"/>
        </w:rPr>
      </w:pPr>
      <w:r w:rsidRPr="00C020A1">
        <w:rPr>
          <w:rFonts w:asciiTheme="majorHAnsi" w:hAnsiTheme="majorHAnsi" w:cstheme="majorHAnsi"/>
          <w:sz w:val="20"/>
          <w:szCs w:val="20"/>
        </w:rPr>
        <w:t>changes of the base year – implementation of a new weighting system;</w:t>
      </w:r>
    </w:p>
    <w:p w14:paraId="6698758B" w14:textId="77777777" w:rsidR="00C020A1" w:rsidRPr="00C020A1" w:rsidRDefault="00C020A1" w:rsidP="00C020A1">
      <w:pPr>
        <w:pStyle w:val="ListParagraph"/>
        <w:numPr>
          <w:ilvl w:val="0"/>
          <w:numId w:val="25"/>
        </w:numPr>
        <w:jc w:val="both"/>
        <w:rPr>
          <w:rFonts w:asciiTheme="majorHAnsi" w:hAnsiTheme="majorHAnsi" w:cstheme="majorHAnsi"/>
          <w:sz w:val="20"/>
          <w:szCs w:val="20"/>
        </w:rPr>
      </w:pPr>
      <w:r w:rsidRPr="00C020A1">
        <w:rPr>
          <w:rFonts w:asciiTheme="majorHAnsi" w:hAnsiTheme="majorHAnsi" w:cstheme="majorHAnsi"/>
          <w:sz w:val="20"/>
          <w:szCs w:val="20"/>
        </w:rPr>
        <w:t>changes in concepts, definitions and/or classifications (e.g. adoption of a new classification or changes in international statistical standards);</w:t>
      </w:r>
    </w:p>
    <w:p w14:paraId="01E236D5" w14:textId="77777777" w:rsidR="00C020A1" w:rsidRPr="00C020A1" w:rsidRDefault="00C020A1" w:rsidP="00C020A1">
      <w:pPr>
        <w:pStyle w:val="ListParagraph"/>
        <w:numPr>
          <w:ilvl w:val="0"/>
          <w:numId w:val="25"/>
        </w:numPr>
        <w:jc w:val="both"/>
        <w:rPr>
          <w:rFonts w:asciiTheme="majorHAnsi" w:hAnsiTheme="majorHAnsi" w:cstheme="majorHAnsi"/>
          <w:sz w:val="20"/>
          <w:szCs w:val="20"/>
        </w:rPr>
      </w:pPr>
      <w:r w:rsidRPr="00C020A1">
        <w:rPr>
          <w:rFonts w:asciiTheme="majorHAnsi" w:hAnsiTheme="majorHAnsi" w:cstheme="majorHAnsi"/>
          <w:sz w:val="20"/>
          <w:szCs w:val="20"/>
        </w:rPr>
        <w:t>improvements</w:t>
      </w:r>
      <w:r w:rsidRPr="00C020A1">
        <w:rPr>
          <w:lang w:val="en-GB"/>
        </w:rPr>
        <w:t xml:space="preserve"> </w:t>
      </w:r>
      <w:r w:rsidRPr="00C020A1">
        <w:rPr>
          <w:rFonts w:asciiTheme="majorHAnsi" w:hAnsiTheme="majorHAnsi" w:cstheme="majorHAnsi"/>
          <w:sz w:val="20"/>
          <w:szCs w:val="20"/>
        </w:rPr>
        <w:t>in methodological procedures;</w:t>
      </w:r>
    </w:p>
    <w:p w14:paraId="74162EFB" w14:textId="5E5E3AFB" w:rsidR="00C020A1" w:rsidRPr="00C020A1" w:rsidRDefault="00C020A1" w:rsidP="00C020A1">
      <w:pPr>
        <w:pStyle w:val="ListParagraph"/>
        <w:numPr>
          <w:ilvl w:val="0"/>
          <w:numId w:val="25"/>
        </w:numPr>
        <w:jc w:val="both"/>
        <w:rPr>
          <w:rFonts w:asciiTheme="majorHAnsi" w:hAnsiTheme="majorHAnsi" w:cstheme="majorHAnsi"/>
          <w:sz w:val="20"/>
          <w:szCs w:val="20"/>
        </w:rPr>
      </w:pPr>
      <w:proofErr w:type="gramStart"/>
      <w:r w:rsidRPr="00C020A1">
        <w:rPr>
          <w:rFonts w:asciiTheme="majorHAnsi" w:hAnsiTheme="majorHAnsi" w:cstheme="majorHAnsi"/>
          <w:sz w:val="20"/>
          <w:szCs w:val="20"/>
        </w:rPr>
        <w:t>changes</w:t>
      </w:r>
      <w:proofErr w:type="gramEnd"/>
      <w:r w:rsidRPr="00C020A1">
        <w:rPr>
          <w:rFonts w:asciiTheme="majorHAnsi" w:hAnsiTheme="majorHAnsi" w:cstheme="majorHAnsi"/>
          <w:sz w:val="20"/>
          <w:szCs w:val="20"/>
        </w:rPr>
        <w:t xml:space="preserve"> in regulations.</w:t>
      </w:r>
    </w:p>
    <w:p w14:paraId="3520BB3C" w14:textId="315409EE" w:rsidR="00C020A1" w:rsidRDefault="00C020A1" w:rsidP="00AF5F55">
      <w:pPr>
        <w:jc w:val="both"/>
        <w:rPr>
          <w:rFonts w:asciiTheme="majorHAnsi" w:hAnsiTheme="majorHAnsi" w:cstheme="majorHAnsi"/>
          <w:sz w:val="20"/>
          <w:szCs w:val="20"/>
        </w:rPr>
      </w:pPr>
      <w:r w:rsidRPr="00C020A1">
        <w:rPr>
          <w:rFonts w:asciiTheme="majorHAnsi" w:hAnsiTheme="majorHAnsi" w:cstheme="majorHAnsi"/>
          <w:sz w:val="20"/>
          <w:szCs w:val="20"/>
        </w:rPr>
        <w:t xml:space="preserve">It is common practice that major revisions are not the consequence of one cause, but of a combination of them. This </w:t>
      </w:r>
      <w:r w:rsidRPr="0094529B">
        <w:rPr>
          <w:rFonts w:asciiTheme="majorHAnsi" w:hAnsiTheme="majorHAnsi" w:cstheme="majorHAnsi"/>
          <w:sz w:val="20"/>
          <w:szCs w:val="20"/>
        </w:rPr>
        <w:t>should be accepted as a good practice in order to avoid too frequent revisions.</w:t>
      </w:r>
    </w:p>
    <w:p w14:paraId="1BAA8992" w14:textId="77777777" w:rsidR="00FC61B6" w:rsidRPr="00226FA1" w:rsidRDefault="00FC61B6" w:rsidP="00FC61B6">
      <w:pPr>
        <w:jc w:val="both"/>
        <w:rPr>
          <w:rFonts w:asciiTheme="majorHAnsi" w:hAnsiTheme="majorHAnsi" w:cstheme="majorHAnsi"/>
          <w:sz w:val="20"/>
          <w:szCs w:val="20"/>
        </w:rPr>
      </w:pPr>
      <w:r w:rsidRPr="00226FA1">
        <w:rPr>
          <w:rFonts w:asciiTheme="majorHAnsi" w:hAnsiTheme="majorHAnsi" w:cstheme="majorHAnsi"/>
          <w:sz w:val="20"/>
          <w:szCs w:val="20"/>
        </w:rPr>
        <w:t>Major</w:t>
      </w:r>
      <w:r w:rsidRPr="00226FA1">
        <w:t xml:space="preserve"> </w:t>
      </w:r>
      <w:r w:rsidRPr="00226FA1">
        <w:rPr>
          <w:rFonts w:asciiTheme="majorHAnsi" w:hAnsiTheme="majorHAnsi" w:cstheme="majorHAnsi"/>
          <w:sz w:val="20"/>
          <w:szCs w:val="20"/>
        </w:rPr>
        <w:t>regular revisions affect a substantial part of time series and sometimes even the complete time series. Therefore, it is necessary to back-cast the data in order to obtain a comparable series of data, avoiding as far as possible any breaks in data series.</w:t>
      </w:r>
    </w:p>
    <w:p w14:paraId="178D8686" w14:textId="046CE77A" w:rsidR="00007230" w:rsidRPr="0094529B" w:rsidRDefault="00007230" w:rsidP="00AF5F55">
      <w:pPr>
        <w:jc w:val="both"/>
        <w:rPr>
          <w:rFonts w:asciiTheme="majorHAnsi" w:hAnsiTheme="majorHAnsi" w:cstheme="majorHAnsi"/>
          <w:sz w:val="20"/>
          <w:szCs w:val="20"/>
        </w:rPr>
      </w:pPr>
      <w:r w:rsidRPr="0094529B">
        <w:rPr>
          <w:rFonts w:asciiTheme="majorHAnsi" w:hAnsiTheme="majorHAnsi" w:cstheme="majorHAnsi"/>
          <w:sz w:val="20"/>
          <w:szCs w:val="20"/>
        </w:rPr>
        <w:t>In recent years a number of significant changes</w:t>
      </w:r>
      <w:r w:rsidR="0024536E">
        <w:rPr>
          <w:rFonts w:asciiTheme="majorHAnsi" w:hAnsiTheme="majorHAnsi" w:cstheme="majorHAnsi"/>
          <w:sz w:val="20"/>
          <w:szCs w:val="20"/>
        </w:rPr>
        <w:t xml:space="preserve"> have been made</w:t>
      </w:r>
      <w:r w:rsidRPr="0094529B">
        <w:rPr>
          <w:rFonts w:asciiTheme="majorHAnsi" w:hAnsiTheme="majorHAnsi" w:cstheme="majorHAnsi"/>
          <w:sz w:val="20"/>
          <w:szCs w:val="20"/>
        </w:rPr>
        <w:t xml:space="preserve"> to the national accounts, which </w:t>
      </w:r>
      <w:r w:rsidR="0024536E">
        <w:rPr>
          <w:rFonts w:asciiTheme="majorHAnsi" w:hAnsiTheme="majorHAnsi" w:cstheme="majorHAnsi"/>
          <w:sz w:val="20"/>
          <w:szCs w:val="20"/>
        </w:rPr>
        <w:t>further</w:t>
      </w:r>
      <w:r w:rsidR="0024536E" w:rsidRPr="0094529B">
        <w:rPr>
          <w:rFonts w:asciiTheme="majorHAnsi" w:hAnsiTheme="majorHAnsi" w:cstheme="majorHAnsi"/>
          <w:sz w:val="20"/>
          <w:szCs w:val="20"/>
        </w:rPr>
        <w:t xml:space="preserve"> </w:t>
      </w:r>
      <w:r w:rsidRPr="0094529B">
        <w:rPr>
          <w:rFonts w:asciiTheme="majorHAnsi" w:hAnsiTheme="majorHAnsi" w:cstheme="majorHAnsi"/>
          <w:sz w:val="20"/>
          <w:szCs w:val="20"/>
        </w:rPr>
        <w:t>resulted in major revisions</w:t>
      </w:r>
      <w:r w:rsidR="00473448" w:rsidRPr="0094529B">
        <w:rPr>
          <w:rFonts w:asciiTheme="majorHAnsi" w:hAnsiTheme="majorHAnsi" w:cstheme="majorHAnsi"/>
          <w:sz w:val="20"/>
          <w:szCs w:val="20"/>
        </w:rPr>
        <w:t>.</w:t>
      </w:r>
      <w:r w:rsidRPr="0094529B">
        <w:rPr>
          <w:rFonts w:asciiTheme="majorHAnsi" w:hAnsiTheme="majorHAnsi" w:cstheme="majorHAnsi"/>
          <w:sz w:val="20"/>
          <w:szCs w:val="20"/>
        </w:rPr>
        <w:t xml:space="preserve"> </w:t>
      </w:r>
    </w:p>
    <w:p w14:paraId="5D543AE0" w14:textId="43ACF47B" w:rsidR="0012378E" w:rsidRPr="004560A2" w:rsidRDefault="0012378E" w:rsidP="0012378E">
      <w:pPr>
        <w:spacing w:line="276" w:lineRule="auto"/>
        <w:jc w:val="center"/>
        <w:rPr>
          <w:rFonts w:asciiTheme="majorHAnsi" w:eastAsiaTheme="minorHAnsi" w:hAnsiTheme="majorHAnsi" w:cstheme="majorHAnsi"/>
          <w:b/>
          <w:bCs/>
          <w:sz w:val="20"/>
          <w:szCs w:val="20"/>
        </w:rPr>
      </w:pPr>
      <w:r w:rsidRPr="0094529B">
        <w:rPr>
          <w:rFonts w:asciiTheme="majorHAnsi" w:hAnsiTheme="majorHAnsi" w:cstheme="majorHAnsi"/>
          <w:b/>
          <w:sz w:val="20"/>
          <w:szCs w:val="20"/>
        </w:rPr>
        <w:t xml:space="preserve">National accounts major </w:t>
      </w:r>
      <w:r w:rsidR="0025789C" w:rsidRPr="0094529B">
        <w:rPr>
          <w:rFonts w:asciiTheme="majorHAnsi" w:hAnsiTheme="majorHAnsi" w:cstheme="majorHAnsi"/>
          <w:b/>
          <w:sz w:val="20"/>
          <w:szCs w:val="20"/>
        </w:rPr>
        <w:t>(benchmark)</w:t>
      </w:r>
      <w:r w:rsidRPr="0094529B">
        <w:rPr>
          <w:rFonts w:asciiTheme="majorHAnsi" w:hAnsiTheme="majorHAnsi" w:cstheme="majorHAnsi"/>
          <w:b/>
          <w:sz w:val="20"/>
          <w:szCs w:val="20"/>
        </w:rPr>
        <w:t xml:space="preserve"> revision</w:t>
      </w:r>
    </w:p>
    <w:tbl>
      <w:tblPr>
        <w:tblStyle w:val="TableGrid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5"/>
        <w:gridCol w:w="7116"/>
      </w:tblGrid>
      <w:tr w:rsidR="00200577" w:rsidRPr="00226FA1" w14:paraId="3CA9AE72" w14:textId="77777777" w:rsidTr="00AB1172">
        <w:trPr>
          <w:trHeight w:val="355"/>
          <w:jc w:val="center"/>
        </w:trPr>
        <w:tc>
          <w:tcPr>
            <w:tcW w:w="1705" w:type="dxa"/>
            <w:tcBorders>
              <w:top w:val="single" w:sz="8" w:space="0" w:color="auto"/>
              <w:bottom w:val="single" w:sz="8" w:space="0" w:color="A8D08D" w:themeColor="accent6" w:themeTint="99"/>
            </w:tcBorders>
            <w:shd w:val="clear" w:color="auto" w:fill="E2EFD9" w:themeFill="accent6" w:themeFillTint="33"/>
            <w:vAlign w:val="center"/>
          </w:tcPr>
          <w:p w14:paraId="103A3034" w14:textId="0A93F54A" w:rsidR="00200577" w:rsidRPr="00226FA1" w:rsidRDefault="00200577" w:rsidP="001919E6">
            <w:pPr>
              <w:jc w:val="center"/>
              <w:rPr>
                <w:rFonts w:ascii="Calibri" w:hAnsi="Calibri" w:cs="Calibri"/>
                <w:b/>
                <w:sz w:val="18"/>
                <w:szCs w:val="18"/>
              </w:rPr>
            </w:pPr>
            <w:r w:rsidRPr="00226FA1">
              <w:rPr>
                <w:rFonts w:ascii="Calibri" w:hAnsi="Calibri" w:cs="Calibri"/>
                <w:b/>
                <w:sz w:val="18"/>
                <w:szCs w:val="18"/>
              </w:rPr>
              <w:t xml:space="preserve">Year </w:t>
            </w:r>
            <w:r>
              <w:rPr>
                <w:rFonts w:ascii="Calibri" w:hAnsi="Calibri" w:cs="Calibri"/>
                <w:b/>
                <w:sz w:val="18"/>
                <w:szCs w:val="18"/>
              </w:rPr>
              <w:t>of publication</w:t>
            </w:r>
          </w:p>
        </w:tc>
        <w:tc>
          <w:tcPr>
            <w:tcW w:w="7116" w:type="dxa"/>
            <w:tcBorders>
              <w:top w:val="single" w:sz="8" w:space="0" w:color="auto"/>
              <w:bottom w:val="single" w:sz="8" w:space="0" w:color="A8D08D" w:themeColor="accent6" w:themeTint="99"/>
            </w:tcBorders>
            <w:shd w:val="clear" w:color="auto" w:fill="E2EFD9" w:themeFill="accent6" w:themeFillTint="33"/>
            <w:vAlign w:val="center"/>
          </w:tcPr>
          <w:p w14:paraId="00043674" w14:textId="5D78D9D3" w:rsidR="00200577" w:rsidRPr="00226FA1" w:rsidRDefault="00200577" w:rsidP="009D70A4">
            <w:pPr>
              <w:jc w:val="center"/>
              <w:rPr>
                <w:rFonts w:ascii="Calibri" w:hAnsi="Calibri" w:cs="Calibri"/>
                <w:b/>
                <w:sz w:val="18"/>
                <w:szCs w:val="18"/>
              </w:rPr>
            </w:pPr>
            <w:r>
              <w:rPr>
                <w:rFonts w:ascii="Calibri" w:hAnsi="Calibri" w:cs="Calibri"/>
                <w:b/>
                <w:sz w:val="18"/>
                <w:szCs w:val="18"/>
              </w:rPr>
              <w:t>Major outcomes of revision</w:t>
            </w:r>
          </w:p>
        </w:tc>
      </w:tr>
      <w:tr w:rsidR="00200577" w:rsidRPr="00226FA1" w14:paraId="686CFE00" w14:textId="77777777" w:rsidTr="00AB1172">
        <w:trPr>
          <w:trHeight w:val="1628"/>
          <w:jc w:val="center"/>
        </w:trPr>
        <w:tc>
          <w:tcPr>
            <w:tcW w:w="1705" w:type="dxa"/>
            <w:tcBorders>
              <w:top w:val="single" w:sz="8" w:space="0" w:color="A8D08D" w:themeColor="accent6" w:themeTint="99"/>
              <w:bottom w:val="single" w:sz="8" w:space="0" w:color="A8D08D" w:themeColor="accent6" w:themeTint="99"/>
            </w:tcBorders>
            <w:vAlign w:val="center"/>
          </w:tcPr>
          <w:p w14:paraId="54962EFF" w14:textId="6DB8D06A" w:rsidR="00200577" w:rsidRPr="0094529B" w:rsidRDefault="00200577" w:rsidP="00F377BD">
            <w:pPr>
              <w:jc w:val="center"/>
              <w:rPr>
                <w:rFonts w:ascii="Calibri" w:hAnsi="Calibri" w:cs="Calibri"/>
                <w:b/>
                <w:sz w:val="18"/>
                <w:szCs w:val="18"/>
              </w:rPr>
            </w:pPr>
            <w:r w:rsidRPr="0094529B">
              <w:rPr>
                <w:rFonts w:ascii="Calibri" w:hAnsi="Calibri" w:cs="Calibri"/>
                <w:b/>
                <w:sz w:val="18"/>
                <w:szCs w:val="18"/>
              </w:rPr>
              <w:t>2012</w:t>
            </w:r>
          </w:p>
        </w:tc>
        <w:tc>
          <w:tcPr>
            <w:tcW w:w="7116" w:type="dxa"/>
            <w:tcBorders>
              <w:top w:val="single" w:sz="8" w:space="0" w:color="A8D08D" w:themeColor="accent6" w:themeTint="99"/>
              <w:bottom w:val="single" w:sz="8" w:space="0" w:color="A8D08D" w:themeColor="accent6" w:themeTint="99"/>
            </w:tcBorders>
            <w:vAlign w:val="center"/>
          </w:tcPr>
          <w:p w14:paraId="1DEE5EF8" w14:textId="1CF1BBCD" w:rsidR="00200577" w:rsidRPr="0094529B" w:rsidRDefault="00200577" w:rsidP="0025789C">
            <w:pPr>
              <w:pStyle w:val="ListParagraph"/>
              <w:numPr>
                <w:ilvl w:val="0"/>
                <w:numId w:val="29"/>
              </w:numPr>
              <w:contextualSpacing w:val="0"/>
              <w:rPr>
                <w:rFonts w:ascii="Calibri" w:hAnsi="Calibri" w:cs="Calibri"/>
                <w:sz w:val="18"/>
                <w:szCs w:val="18"/>
              </w:rPr>
            </w:pPr>
            <w:r w:rsidRPr="0094529B">
              <w:rPr>
                <w:rFonts w:ascii="Calibri" w:hAnsi="Calibri" w:cs="Calibri"/>
                <w:sz w:val="18"/>
                <w:szCs w:val="18"/>
              </w:rPr>
              <w:t>Introduction of the new national Classification of activities (</w:t>
            </w:r>
            <w:r w:rsidRPr="0094529B">
              <w:rPr>
                <w:rFonts w:ascii="Calibri" w:hAnsi="Calibri" w:cs="Calibri"/>
                <w:i/>
                <w:sz w:val="18"/>
                <w:szCs w:val="18"/>
              </w:rPr>
              <w:t>KD2010</w:t>
            </w:r>
            <w:r w:rsidRPr="0094529B">
              <w:rPr>
                <w:rFonts w:ascii="Calibri" w:hAnsi="Calibri" w:cs="Calibri"/>
                <w:sz w:val="18"/>
                <w:szCs w:val="18"/>
              </w:rPr>
              <w:t>) in accordance with the international</w:t>
            </w:r>
            <w:r w:rsidRPr="0094529B">
              <w:t xml:space="preserve"> </w:t>
            </w:r>
            <w:r w:rsidRPr="0094529B">
              <w:rPr>
                <w:rFonts w:ascii="Calibri" w:hAnsi="Calibri" w:cs="Calibri"/>
                <w:sz w:val="18"/>
                <w:szCs w:val="18"/>
              </w:rPr>
              <w:t>NACE Rev. 2</w:t>
            </w:r>
          </w:p>
          <w:p w14:paraId="79A39EA3" w14:textId="3AE2B2E0" w:rsidR="00200577" w:rsidRPr="0094529B" w:rsidRDefault="00200577" w:rsidP="0025789C">
            <w:pPr>
              <w:pStyle w:val="ListParagraph"/>
              <w:numPr>
                <w:ilvl w:val="0"/>
                <w:numId w:val="29"/>
              </w:numPr>
              <w:contextualSpacing w:val="0"/>
              <w:rPr>
                <w:rFonts w:ascii="Calibri" w:hAnsi="Calibri" w:cs="Calibri"/>
                <w:sz w:val="18"/>
                <w:szCs w:val="18"/>
              </w:rPr>
            </w:pPr>
            <w:r w:rsidRPr="0094529B">
              <w:rPr>
                <w:rFonts w:ascii="Calibri" w:hAnsi="Calibri" w:cs="Calibri"/>
                <w:sz w:val="18"/>
                <w:szCs w:val="18"/>
              </w:rPr>
              <w:t>The transition from fixed ba</w:t>
            </w:r>
            <w:r w:rsidR="008A4367" w:rsidRPr="0094529B">
              <w:rPr>
                <w:rFonts w:ascii="Calibri" w:hAnsi="Calibri" w:cs="Calibri"/>
                <w:sz w:val="18"/>
                <w:szCs w:val="18"/>
              </w:rPr>
              <w:t>se year to previous year prices</w:t>
            </w:r>
          </w:p>
          <w:p w14:paraId="2AFAC747" w14:textId="77777777" w:rsidR="00200577" w:rsidRPr="0094529B" w:rsidRDefault="00200577" w:rsidP="0025789C">
            <w:pPr>
              <w:pStyle w:val="ListParagraph"/>
              <w:numPr>
                <w:ilvl w:val="0"/>
                <w:numId w:val="29"/>
              </w:numPr>
              <w:contextualSpacing w:val="0"/>
              <w:rPr>
                <w:rFonts w:ascii="Calibri" w:hAnsi="Calibri" w:cs="Calibri"/>
                <w:sz w:val="18"/>
                <w:szCs w:val="18"/>
              </w:rPr>
            </w:pPr>
            <w:r w:rsidRPr="0094529B">
              <w:rPr>
                <w:rFonts w:ascii="Calibri" w:hAnsi="Calibri" w:cs="Calibri"/>
                <w:sz w:val="18"/>
                <w:szCs w:val="18"/>
              </w:rPr>
              <w:t>Introduction of the method of chain-linking, 2010 is used as the reference year</w:t>
            </w:r>
          </w:p>
          <w:p w14:paraId="2B8D57C5" w14:textId="1811A924" w:rsidR="00037125" w:rsidRPr="0094529B" w:rsidRDefault="00037125" w:rsidP="0025789C">
            <w:pPr>
              <w:pStyle w:val="ListParagraph"/>
              <w:numPr>
                <w:ilvl w:val="0"/>
                <w:numId w:val="29"/>
              </w:numPr>
              <w:contextualSpacing w:val="0"/>
              <w:rPr>
                <w:rFonts w:ascii="Calibri" w:hAnsi="Calibri" w:cs="Calibri"/>
                <w:sz w:val="18"/>
                <w:szCs w:val="18"/>
              </w:rPr>
            </w:pPr>
            <w:r w:rsidRPr="0094529B">
              <w:rPr>
                <w:rFonts w:ascii="Calibri" w:hAnsi="Calibri" w:cs="Calibri"/>
                <w:sz w:val="18"/>
                <w:szCs w:val="18"/>
              </w:rPr>
              <w:t>Revised time series 2001-2010</w:t>
            </w:r>
          </w:p>
        </w:tc>
      </w:tr>
      <w:tr w:rsidR="00200577" w:rsidRPr="00226FA1" w14:paraId="634FCE89" w14:textId="77777777" w:rsidTr="00AB1172">
        <w:trPr>
          <w:trHeight w:val="1691"/>
          <w:jc w:val="center"/>
        </w:trPr>
        <w:tc>
          <w:tcPr>
            <w:tcW w:w="1705" w:type="dxa"/>
            <w:tcBorders>
              <w:top w:val="single" w:sz="8" w:space="0" w:color="A8D08D" w:themeColor="accent6" w:themeTint="99"/>
              <w:bottom w:val="single" w:sz="8" w:space="0" w:color="A8D08D" w:themeColor="accent6" w:themeTint="99"/>
            </w:tcBorders>
            <w:vAlign w:val="center"/>
          </w:tcPr>
          <w:p w14:paraId="61F8416E" w14:textId="3872DFC1" w:rsidR="00200577" w:rsidRPr="0094529B" w:rsidRDefault="00200577" w:rsidP="00F377BD">
            <w:pPr>
              <w:jc w:val="center"/>
              <w:rPr>
                <w:rFonts w:ascii="Calibri" w:hAnsi="Calibri" w:cs="Calibri"/>
                <w:b/>
                <w:sz w:val="18"/>
                <w:szCs w:val="18"/>
              </w:rPr>
            </w:pPr>
            <w:r w:rsidRPr="0094529B">
              <w:rPr>
                <w:rFonts w:ascii="Calibri" w:hAnsi="Calibri" w:cs="Calibri"/>
                <w:b/>
                <w:sz w:val="18"/>
                <w:szCs w:val="18"/>
              </w:rPr>
              <w:t>2014</w:t>
            </w:r>
          </w:p>
        </w:tc>
        <w:tc>
          <w:tcPr>
            <w:tcW w:w="7116" w:type="dxa"/>
            <w:tcBorders>
              <w:top w:val="single" w:sz="8" w:space="0" w:color="A8D08D" w:themeColor="accent6" w:themeTint="99"/>
              <w:bottom w:val="single" w:sz="8" w:space="0" w:color="A8D08D" w:themeColor="accent6" w:themeTint="99"/>
            </w:tcBorders>
            <w:vAlign w:val="center"/>
          </w:tcPr>
          <w:p w14:paraId="3576E16C" w14:textId="12D5F3F6" w:rsidR="00200577" w:rsidRPr="0094529B" w:rsidRDefault="00200577" w:rsidP="001919E6">
            <w:pPr>
              <w:pStyle w:val="ListParagraph"/>
              <w:numPr>
                <w:ilvl w:val="0"/>
                <w:numId w:val="29"/>
              </w:numPr>
              <w:rPr>
                <w:rFonts w:ascii="Calibri" w:hAnsi="Calibri" w:cs="Calibri"/>
                <w:sz w:val="18"/>
                <w:szCs w:val="18"/>
              </w:rPr>
            </w:pPr>
            <w:r w:rsidRPr="0094529B">
              <w:rPr>
                <w:rFonts w:ascii="Calibri" w:hAnsi="Calibri" w:cs="Calibri"/>
                <w:sz w:val="18"/>
                <w:szCs w:val="18"/>
              </w:rPr>
              <w:t xml:space="preserve">SORS moved from </w:t>
            </w:r>
            <w:r w:rsidR="001922A3" w:rsidRPr="0094529B">
              <w:rPr>
                <w:rFonts w:ascii="Calibri" w:hAnsi="Calibri" w:cs="Calibri"/>
                <w:sz w:val="18"/>
                <w:szCs w:val="18"/>
              </w:rPr>
              <w:t>European System of Accounts</w:t>
            </w:r>
            <w:r w:rsidR="001922A3" w:rsidRPr="0094529B">
              <w:rPr>
                <w:rFonts w:ascii="Calibri" w:hAnsi="Calibri" w:cs="Calibri"/>
                <w:sz w:val="18"/>
                <w:szCs w:val="18"/>
                <w:lang w:val="sr-Cyrl-RS"/>
              </w:rPr>
              <w:t xml:space="preserve"> 1995</w:t>
            </w:r>
            <w:r w:rsidR="001922A3" w:rsidRPr="0094529B">
              <w:rPr>
                <w:rFonts w:ascii="Calibri" w:hAnsi="Calibri" w:cs="Calibri"/>
                <w:sz w:val="18"/>
                <w:szCs w:val="18"/>
              </w:rPr>
              <w:t xml:space="preserve"> </w:t>
            </w:r>
            <w:r w:rsidR="001922A3" w:rsidRPr="0094529B">
              <w:rPr>
                <w:rFonts w:ascii="Calibri" w:hAnsi="Calibri" w:cs="Calibri"/>
                <w:sz w:val="18"/>
                <w:szCs w:val="18"/>
                <w:lang w:val="sr-Cyrl-RS"/>
              </w:rPr>
              <w:t>(</w:t>
            </w:r>
            <w:r w:rsidRPr="0094529B">
              <w:rPr>
                <w:rFonts w:ascii="Calibri" w:hAnsi="Calibri" w:cs="Calibri"/>
                <w:sz w:val="18"/>
                <w:szCs w:val="18"/>
              </w:rPr>
              <w:t>ESA95</w:t>
            </w:r>
            <w:r w:rsidR="001922A3" w:rsidRPr="0094529B">
              <w:rPr>
                <w:rFonts w:ascii="Calibri" w:hAnsi="Calibri" w:cs="Calibri"/>
                <w:sz w:val="18"/>
                <w:szCs w:val="18"/>
                <w:lang w:val="sr-Cyrl-RS"/>
              </w:rPr>
              <w:t>)</w:t>
            </w:r>
            <w:r w:rsidRPr="0094529B">
              <w:rPr>
                <w:rFonts w:ascii="Calibri" w:hAnsi="Calibri" w:cs="Calibri"/>
                <w:sz w:val="18"/>
                <w:szCs w:val="18"/>
              </w:rPr>
              <w:t xml:space="preserve"> to the </w:t>
            </w:r>
            <w:r w:rsidR="001922A3" w:rsidRPr="0094529B">
              <w:rPr>
                <w:rFonts w:ascii="Calibri" w:hAnsi="Calibri" w:cs="Calibri"/>
                <w:sz w:val="18"/>
                <w:szCs w:val="18"/>
              </w:rPr>
              <w:t>ESA2010</w:t>
            </w:r>
          </w:p>
          <w:p w14:paraId="3FB4BD3F" w14:textId="5B0C724C" w:rsidR="00037125" w:rsidRPr="0094529B" w:rsidRDefault="00037125" w:rsidP="00037125">
            <w:pPr>
              <w:pStyle w:val="ListParagraph"/>
              <w:numPr>
                <w:ilvl w:val="0"/>
                <w:numId w:val="29"/>
              </w:numPr>
              <w:rPr>
                <w:rFonts w:ascii="Calibri" w:hAnsi="Calibri" w:cs="Calibri"/>
                <w:sz w:val="18"/>
                <w:szCs w:val="18"/>
              </w:rPr>
            </w:pPr>
            <w:r w:rsidRPr="0094529B">
              <w:rPr>
                <w:rFonts w:ascii="Calibri" w:hAnsi="Calibri" w:cs="Calibri"/>
                <w:sz w:val="18"/>
                <w:szCs w:val="18"/>
              </w:rPr>
              <w:t xml:space="preserve">The double deflation method was introduced </w:t>
            </w:r>
            <w:r w:rsidR="00F130B4" w:rsidRPr="0094529B">
              <w:rPr>
                <w:rFonts w:ascii="Calibri" w:hAnsi="Calibri" w:cs="Calibri"/>
                <w:sz w:val="18"/>
                <w:szCs w:val="18"/>
              </w:rPr>
              <w:t xml:space="preserve">for activities </w:t>
            </w:r>
            <w:r w:rsidRPr="0094529B">
              <w:rPr>
                <w:rFonts w:ascii="Calibri" w:hAnsi="Calibri" w:cs="Calibri"/>
                <w:sz w:val="18"/>
                <w:szCs w:val="18"/>
              </w:rPr>
              <w:t xml:space="preserve">where </w:t>
            </w:r>
            <w:r w:rsidR="00F130B4" w:rsidRPr="0094529B">
              <w:rPr>
                <w:rFonts w:ascii="Calibri" w:hAnsi="Calibri" w:cs="Calibri"/>
                <w:sz w:val="18"/>
                <w:szCs w:val="18"/>
              </w:rPr>
              <w:t xml:space="preserve">it was </w:t>
            </w:r>
            <w:r w:rsidRPr="0094529B">
              <w:rPr>
                <w:rFonts w:ascii="Calibri" w:hAnsi="Calibri" w:cs="Calibri"/>
                <w:sz w:val="18"/>
                <w:szCs w:val="18"/>
              </w:rPr>
              <w:t xml:space="preserve">possible, that is, where deflators were available </w:t>
            </w:r>
          </w:p>
          <w:p w14:paraId="35945BAF" w14:textId="3FE6F239" w:rsidR="00265DBE" w:rsidRPr="0094529B" w:rsidRDefault="00265DBE" w:rsidP="00265DBE">
            <w:pPr>
              <w:pStyle w:val="ListParagraph"/>
              <w:numPr>
                <w:ilvl w:val="0"/>
                <w:numId w:val="29"/>
              </w:numPr>
              <w:rPr>
                <w:rFonts w:ascii="Calibri" w:hAnsi="Calibri" w:cs="Calibri"/>
                <w:sz w:val="18"/>
                <w:szCs w:val="18"/>
              </w:rPr>
            </w:pPr>
            <w:r w:rsidRPr="0094529B">
              <w:rPr>
                <w:rFonts w:ascii="Calibri" w:hAnsi="Calibri" w:cs="Calibri"/>
                <w:sz w:val="18"/>
                <w:szCs w:val="18"/>
              </w:rPr>
              <w:t xml:space="preserve">Completing </w:t>
            </w:r>
            <w:r w:rsidR="00F130B4" w:rsidRPr="0094529B">
              <w:rPr>
                <w:rFonts w:ascii="Calibri" w:hAnsi="Calibri" w:cs="Calibri"/>
                <w:sz w:val="18"/>
                <w:szCs w:val="18"/>
              </w:rPr>
              <w:t xml:space="preserve">data </w:t>
            </w:r>
            <w:r w:rsidRPr="0094529B">
              <w:rPr>
                <w:rFonts w:ascii="Calibri" w:hAnsi="Calibri" w:cs="Calibri"/>
                <w:sz w:val="18"/>
                <w:szCs w:val="18"/>
              </w:rPr>
              <w:t xml:space="preserve">series, </w:t>
            </w:r>
            <w:r w:rsidR="00F130B4" w:rsidRPr="0094529B">
              <w:rPr>
                <w:rFonts w:ascii="Calibri" w:hAnsi="Calibri" w:cs="Calibri"/>
                <w:sz w:val="18"/>
                <w:szCs w:val="18"/>
              </w:rPr>
              <w:t>introducing</w:t>
            </w:r>
            <w:r w:rsidRPr="0094529B">
              <w:rPr>
                <w:rFonts w:ascii="Calibri" w:hAnsi="Calibri" w:cs="Calibri"/>
                <w:sz w:val="18"/>
                <w:szCs w:val="18"/>
              </w:rPr>
              <w:t xml:space="preserve"> the GDP calculation for 1995 and 1996 </w:t>
            </w:r>
          </w:p>
          <w:p w14:paraId="0783B8A9" w14:textId="3DEFDA3E" w:rsidR="00200577" w:rsidRPr="0094529B" w:rsidRDefault="00037125" w:rsidP="00265DBE">
            <w:pPr>
              <w:pStyle w:val="ListParagraph"/>
              <w:numPr>
                <w:ilvl w:val="0"/>
                <w:numId w:val="29"/>
              </w:numPr>
              <w:rPr>
                <w:rFonts w:ascii="Calibri" w:hAnsi="Calibri" w:cs="Calibri"/>
                <w:sz w:val="18"/>
                <w:szCs w:val="18"/>
              </w:rPr>
            </w:pPr>
            <w:r w:rsidRPr="0094529B">
              <w:rPr>
                <w:rFonts w:ascii="Calibri" w:hAnsi="Calibri" w:cs="Calibri"/>
                <w:sz w:val="18"/>
                <w:szCs w:val="18"/>
              </w:rPr>
              <w:t>Revised time series 1997-2012</w:t>
            </w:r>
          </w:p>
        </w:tc>
      </w:tr>
      <w:tr w:rsidR="00633DCF" w:rsidRPr="00226FA1" w14:paraId="31199CB7" w14:textId="77777777" w:rsidTr="00AB1172">
        <w:trPr>
          <w:trHeight w:val="2067"/>
          <w:jc w:val="center"/>
        </w:trPr>
        <w:tc>
          <w:tcPr>
            <w:tcW w:w="1705" w:type="dxa"/>
            <w:tcBorders>
              <w:top w:val="single" w:sz="8" w:space="0" w:color="A8D08D" w:themeColor="accent6" w:themeTint="99"/>
              <w:bottom w:val="single" w:sz="8" w:space="0" w:color="auto"/>
            </w:tcBorders>
            <w:vAlign w:val="center"/>
          </w:tcPr>
          <w:p w14:paraId="74B1A3DD" w14:textId="3CA17381" w:rsidR="00633DCF" w:rsidRPr="0094529B" w:rsidRDefault="00633DCF" w:rsidP="00F377BD">
            <w:pPr>
              <w:jc w:val="center"/>
              <w:rPr>
                <w:rFonts w:ascii="Calibri" w:hAnsi="Calibri" w:cs="Calibri"/>
                <w:b/>
                <w:sz w:val="18"/>
                <w:szCs w:val="18"/>
              </w:rPr>
            </w:pPr>
            <w:r w:rsidRPr="0094529B">
              <w:rPr>
                <w:rFonts w:ascii="Calibri" w:hAnsi="Calibri" w:cs="Calibri"/>
                <w:b/>
                <w:sz w:val="18"/>
                <w:szCs w:val="18"/>
              </w:rPr>
              <w:t>2018-2019</w:t>
            </w:r>
          </w:p>
        </w:tc>
        <w:tc>
          <w:tcPr>
            <w:tcW w:w="7116" w:type="dxa"/>
            <w:tcBorders>
              <w:top w:val="single" w:sz="8" w:space="0" w:color="A8D08D" w:themeColor="accent6" w:themeTint="99"/>
              <w:bottom w:val="single" w:sz="8" w:space="0" w:color="auto"/>
            </w:tcBorders>
            <w:vAlign w:val="center"/>
          </w:tcPr>
          <w:p w14:paraId="6EADC45E" w14:textId="5B9C685A" w:rsidR="00633DCF" w:rsidRPr="0094529B" w:rsidRDefault="00633DCF" w:rsidP="00633DCF">
            <w:pPr>
              <w:pStyle w:val="ListParagraph"/>
              <w:numPr>
                <w:ilvl w:val="0"/>
                <w:numId w:val="29"/>
              </w:numPr>
              <w:rPr>
                <w:rFonts w:ascii="Calibri" w:hAnsi="Calibri" w:cs="Calibri"/>
                <w:sz w:val="18"/>
                <w:szCs w:val="18"/>
              </w:rPr>
            </w:pPr>
            <w:r w:rsidRPr="0094529B">
              <w:rPr>
                <w:rFonts w:ascii="Calibri" w:hAnsi="Calibri" w:cs="Calibri"/>
                <w:sz w:val="18"/>
                <w:szCs w:val="18"/>
              </w:rPr>
              <w:t>Enhance compliance of National Accounts with ESA 2010</w:t>
            </w:r>
          </w:p>
          <w:p w14:paraId="08410123" w14:textId="67A6562B" w:rsidR="0025789C" w:rsidRPr="0094529B" w:rsidRDefault="0025789C" w:rsidP="0025789C">
            <w:pPr>
              <w:pStyle w:val="ListParagraph"/>
              <w:numPr>
                <w:ilvl w:val="0"/>
                <w:numId w:val="29"/>
              </w:numPr>
              <w:rPr>
                <w:rFonts w:ascii="Calibri" w:hAnsi="Calibri" w:cs="Calibri"/>
                <w:sz w:val="18"/>
                <w:szCs w:val="18"/>
              </w:rPr>
            </w:pPr>
            <w:r w:rsidRPr="0094529B">
              <w:rPr>
                <w:rFonts w:ascii="Calibri" w:hAnsi="Calibri" w:cs="Calibri"/>
                <w:sz w:val="18"/>
                <w:szCs w:val="18"/>
              </w:rPr>
              <w:t xml:space="preserve">Applying the sectoral classification fully in line with </w:t>
            </w:r>
            <w:r w:rsidR="00F40A57">
              <w:rPr>
                <w:rFonts w:ascii="Calibri" w:hAnsi="Calibri" w:cs="Calibri"/>
                <w:sz w:val="18"/>
                <w:szCs w:val="18"/>
              </w:rPr>
              <w:t xml:space="preserve">the recommendations of </w:t>
            </w:r>
            <w:r w:rsidRPr="0094529B">
              <w:rPr>
                <w:rFonts w:ascii="Calibri" w:hAnsi="Calibri" w:cs="Calibri"/>
                <w:sz w:val="18"/>
                <w:szCs w:val="18"/>
              </w:rPr>
              <w:t xml:space="preserve">ESA 2010 </w:t>
            </w:r>
          </w:p>
          <w:p w14:paraId="7F7FC6BE" w14:textId="2E396504" w:rsidR="0025789C" w:rsidRPr="0094529B" w:rsidRDefault="0025789C" w:rsidP="0025789C">
            <w:pPr>
              <w:pStyle w:val="ListParagraph"/>
              <w:numPr>
                <w:ilvl w:val="0"/>
                <w:numId w:val="29"/>
              </w:numPr>
              <w:rPr>
                <w:rFonts w:ascii="Calibri" w:hAnsi="Calibri" w:cs="Calibri"/>
                <w:sz w:val="18"/>
                <w:szCs w:val="18"/>
              </w:rPr>
            </w:pPr>
            <w:r w:rsidRPr="0094529B">
              <w:rPr>
                <w:rFonts w:ascii="Calibri" w:hAnsi="Calibri" w:cs="Calibri"/>
                <w:sz w:val="18"/>
                <w:szCs w:val="18"/>
              </w:rPr>
              <w:t>Implemented Economic Accounts for Agriculture (EAA) in National Accounts</w:t>
            </w:r>
          </w:p>
          <w:p w14:paraId="25EF6689" w14:textId="77777777" w:rsidR="0025789C" w:rsidRPr="0094529B" w:rsidRDefault="0025789C" w:rsidP="0025789C">
            <w:pPr>
              <w:pStyle w:val="ListParagraph"/>
              <w:numPr>
                <w:ilvl w:val="0"/>
                <w:numId w:val="29"/>
              </w:numPr>
              <w:rPr>
                <w:rFonts w:ascii="Calibri" w:hAnsi="Calibri" w:cs="Calibri"/>
                <w:sz w:val="18"/>
                <w:szCs w:val="18"/>
              </w:rPr>
            </w:pPr>
            <w:r w:rsidRPr="0094529B">
              <w:rPr>
                <w:rFonts w:ascii="Calibri" w:hAnsi="Calibri" w:cs="Calibri"/>
                <w:sz w:val="18"/>
                <w:szCs w:val="18"/>
              </w:rPr>
              <w:t xml:space="preserve">Introduced annual estimates of GDP in the SUT framework </w:t>
            </w:r>
          </w:p>
          <w:p w14:paraId="5DE83A83" w14:textId="4EFCD296" w:rsidR="00633DCF" w:rsidRPr="0094529B" w:rsidRDefault="0025789C" w:rsidP="0025789C">
            <w:pPr>
              <w:pStyle w:val="ListParagraph"/>
              <w:numPr>
                <w:ilvl w:val="0"/>
                <w:numId w:val="29"/>
              </w:numPr>
              <w:rPr>
                <w:rFonts w:ascii="Calibri" w:hAnsi="Calibri" w:cs="Calibri"/>
                <w:sz w:val="18"/>
                <w:szCs w:val="18"/>
              </w:rPr>
            </w:pPr>
            <w:r w:rsidRPr="0094529B">
              <w:rPr>
                <w:rFonts w:ascii="Calibri" w:hAnsi="Calibri" w:cs="Calibri"/>
                <w:sz w:val="18"/>
                <w:szCs w:val="18"/>
              </w:rPr>
              <w:t>Revised time series 1995-2017</w:t>
            </w:r>
          </w:p>
        </w:tc>
      </w:tr>
    </w:tbl>
    <w:p w14:paraId="40B41E87" w14:textId="77777777" w:rsidR="0012378E" w:rsidRDefault="0012378E" w:rsidP="00AF5F55">
      <w:pPr>
        <w:jc w:val="both"/>
        <w:rPr>
          <w:rFonts w:asciiTheme="majorHAnsi" w:hAnsiTheme="majorHAnsi" w:cstheme="majorHAnsi"/>
          <w:sz w:val="20"/>
          <w:szCs w:val="20"/>
        </w:rPr>
      </w:pPr>
    </w:p>
    <w:p w14:paraId="61EAF31F" w14:textId="1FFFCD1F" w:rsidR="00AF5F55" w:rsidRPr="00226FA1" w:rsidRDefault="00AF5F55" w:rsidP="00AF5F55">
      <w:pPr>
        <w:jc w:val="both"/>
        <w:rPr>
          <w:rFonts w:asciiTheme="majorHAnsi" w:hAnsiTheme="majorHAnsi" w:cstheme="majorHAnsi"/>
          <w:sz w:val="20"/>
          <w:szCs w:val="20"/>
        </w:rPr>
      </w:pPr>
      <w:r w:rsidRPr="00226FA1">
        <w:rPr>
          <w:rFonts w:asciiTheme="majorHAnsi" w:hAnsiTheme="majorHAnsi" w:cstheme="majorHAnsi"/>
          <w:sz w:val="20"/>
          <w:szCs w:val="20"/>
        </w:rPr>
        <w:lastRenderedPageBreak/>
        <w:t xml:space="preserve">The announcement of major regular revision </w:t>
      </w:r>
      <w:r w:rsidR="00FF34B5">
        <w:rPr>
          <w:rFonts w:asciiTheme="majorHAnsi" w:hAnsiTheme="majorHAnsi" w:cstheme="majorHAnsi"/>
          <w:sz w:val="20"/>
          <w:szCs w:val="20"/>
        </w:rPr>
        <w:t xml:space="preserve">are </w:t>
      </w:r>
      <w:r w:rsidRPr="00226FA1">
        <w:rPr>
          <w:rFonts w:asciiTheme="majorHAnsi" w:hAnsiTheme="majorHAnsi" w:cstheme="majorHAnsi"/>
          <w:sz w:val="20"/>
          <w:szCs w:val="20"/>
        </w:rPr>
        <w:t xml:space="preserve">published well before the date of releasing the revised data, and the users </w:t>
      </w:r>
      <w:r w:rsidRPr="00FF34B5">
        <w:rPr>
          <w:rFonts w:asciiTheme="majorHAnsi" w:hAnsiTheme="majorHAnsi" w:cstheme="majorHAnsi"/>
          <w:sz w:val="20"/>
          <w:szCs w:val="20"/>
        </w:rPr>
        <w:t>are informed</w:t>
      </w:r>
      <w:r w:rsidRPr="00226FA1">
        <w:rPr>
          <w:rFonts w:asciiTheme="majorHAnsi" w:hAnsiTheme="majorHAnsi" w:cstheme="majorHAnsi"/>
          <w:sz w:val="20"/>
          <w:szCs w:val="20"/>
        </w:rPr>
        <w:t xml:space="preserve"> about its implementation within defined deadlines and in the appropriate form. </w:t>
      </w:r>
      <w:r>
        <w:rPr>
          <w:rFonts w:asciiTheme="majorHAnsi" w:hAnsiTheme="majorHAnsi" w:cstheme="majorHAnsi"/>
          <w:sz w:val="20"/>
          <w:szCs w:val="20"/>
        </w:rPr>
        <w:t>U</w:t>
      </w:r>
      <w:r w:rsidRPr="00226FA1">
        <w:rPr>
          <w:rFonts w:asciiTheme="majorHAnsi" w:hAnsiTheme="majorHAnsi" w:cstheme="majorHAnsi"/>
          <w:sz w:val="20"/>
          <w:szCs w:val="20"/>
        </w:rPr>
        <w:t xml:space="preserve">sers </w:t>
      </w:r>
      <w:r w:rsidR="00FF34B5" w:rsidRPr="00FF34B5">
        <w:rPr>
          <w:rFonts w:asciiTheme="majorHAnsi" w:hAnsiTheme="majorHAnsi" w:cstheme="majorHAnsi"/>
          <w:sz w:val="20"/>
          <w:szCs w:val="20"/>
        </w:rPr>
        <w:t>should</w:t>
      </w:r>
      <w:r w:rsidRPr="00FF34B5">
        <w:rPr>
          <w:rFonts w:asciiTheme="majorHAnsi" w:hAnsiTheme="majorHAnsi" w:cstheme="majorHAnsi"/>
          <w:sz w:val="20"/>
          <w:szCs w:val="20"/>
        </w:rPr>
        <w:t xml:space="preserve"> be</w:t>
      </w:r>
      <w:r w:rsidRPr="00226FA1">
        <w:rPr>
          <w:rFonts w:asciiTheme="majorHAnsi" w:hAnsiTheme="majorHAnsi" w:cstheme="majorHAnsi"/>
          <w:sz w:val="20"/>
          <w:szCs w:val="20"/>
        </w:rPr>
        <w:t xml:space="preserve"> informed about the reasons for the revision, the date of publication of the revised data</w:t>
      </w:r>
      <w:r w:rsidR="00FE55C7">
        <w:rPr>
          <w:rFonts w:asciiTheme="majorHAnsi" w:hAnsiTheme="majorHAnsi" w:cstheme="majorHAnsi"/>
          <w:sz w:val="20"/>
          <w:szCs w:val="20"/>
        </w:rPr>
        <w:t xml:space="preserve">, </w:t>
      </w:r>
      <w:r w:rsidR="00FE55C7" w:rsidRPr="00FE55C7">
        <w:rPr>
          <w:rFonts w:asciiTheme="majorHAnsi" w:hAnsiTheme="majorHAnsi" w:cstheme="majorHAnsi"/>
          <w:sz w:val="20"/>
          <w:szCs w:val="20"/>
        </w:rPr>
        <w:t>the length and types</w:t>
      </w:r>
      <w:r w:rsidR="00FE55C7">
        <w:rPr>
          <w:rFonts w:asciiTheme="majorHAnsi" w:hAnsiTheme="majorHAnsi" w:cstheme="majorHAnsi"/>
          <w:sz w:val="20"/>
          <w:szCs w:val="20"/>
        </w:rPr>
        <w:t xml:space="preserve"> </w:t>
      </w:r>
      <w:r w:rsidRPr="00226FA1">
        <w:rPr>
          <w:rFonts w:asciiTheme="majorHAnsi" w:hAnsiTheme="majorHAnsi" w:cstheme="majorHAnsi"/>
          <w:sz w:val="20"/>
          <w:szCs w:val="20"/>
        </w:rPr>
        <w:t>of time series</w:t>
      </w:r>
      <w:r w:rsidR="00FE55C7">
        <w:rPr>
          <w:rFonts w:asciiTheme="majorHAnsi" w:hAnsiTheme="majorHAnsi" w:cstheme="majorHAnsi"/>
          <w:sz w:val="20"/>
          <w:szCs w:val="20"/>
        </w:rPr>
        <w:t xml:space="preserve"> of data</w:t>
      </w:r>
      <w:r w:rsidRPr="00226FA1">
        <w:rPr>
          <w:rFonts w:asciiTheme="majorHAnsi" w:hAnsiTheme="majorHAnsi" w:cstheme="majorHAnsi"/>
          <w:sz w:val="20"/>
          <w:szCs w:val="20"/>
        </w:rPr>
        <w:t xml:space="preserve"> that are subject of the revision. </w:t>
      </w:r>
    </w:p>
    <w:p w14:paraId="074CF34F" w14:textId="258C765F" w:rsidR="00AF5F55" w:rsidRPr="00AF5F55" w:rsidRDefault="00AF5F55" w:rsidP="00AF5F55">
      <w:pPr>
        <w:jc w:val="both"/>
        <w:rPr>
          <w:rFonts w:asciiTheme="majorHAnsi" w:hAnsiTheme="majorHAnsi" w:cstheme="majorHAnsi"/>
          <w:sz w:val="20"/>
          <w:szCs w:val="20"/>
        </w:rPr>
      </w:pPr>
      <w:r w:rsidRPr="00AF5F55">
        <w:rPr>
          <w:rFonts w:asciiTheme="majorHAnsi" w:hAnsiTheme="majorHAnsi" w:cstheme="majorHAnsi"/>
          <w:sz w:val="20"/>
          <w:szCs w:val="20"/>
        </w:rPr>
        <w:t xml:space="preserve">After major revisions, </w:t>
      </w:r>
      <w:r w:rsidR="0089749C">
        <w:rPr>
          <w:rFonts w:asciiTheme="majorHAnsi" w:hAnsiTheme="majorHAnsi" w:cstheme="majorHAnsi"/>
          <w:sz w:val="20"/>
          <w:szCs w:val="20"/>
        </w:rPr>
        <w:t xml:space="preserve">the </w:t>
      </w:r>
      <w:r w:rsidRPr="00AF5F55">
        <w:rPr>
          <w:rFonts w:asciiTheme="majorHAnsi" w:hAnsiTheme="majorHAnsi" w:cstheme="majorHAnsi"/>
          <w:sz w:val="20"/>
          <w:szCs w:val="20"/>
        </w:rPr>
        <w:t xml:space="preserve">published revised data </w:t>
      </w:r>
      <w:r w:rsidR="008B5FC4">
        <w:rPr>
          <w:rFonts w:asciiTheme="majorHAnsi" w:hAnsiTheme="majorHAnsi" w:cstheme="majorHAnsi"/>
          <w:sz w:val="20"/>
          <w:szCs w:val="20"/>
        </w:rPr>
        <w:t>should</w:t>
      </w:r>
      <w:r w:rsidRPr="00AF5F55">
        <w:rPr>
          <w:rFonts w:asciiTheme="majorHAnsi" w:hAnsiTheme="majorHAnsi" w:cstheme="majorHAnsi"/>
          <w:sz w:val="20"/>
          <w:szCs w:val="20"/>
        </w:rPr>
        <w:t xml:space="preserve"> be accompanied by</w:t>
      </w:r>
      <w:r w:rsidR="0089749C">
        <w:rPr>
          <w:rFonts w:asciiTheme="majorHAnsi" w:hAnsiTheme="majorHAnsi" w:cstheme="majorHAnsi"/>
          <w:sz w:val="20"/>
          <w:szCs w:val="20"/>
        </w:rPr>
        <w:t xml:space="preserve"> the</w:t>
      </w:r>
      <w:r w:rsidRPr="00AF5F55">
        <w:rPr>
          <w:rFonts w:asciiTheme="majorHAnsi" w:hAnsiTheme="majorHAnsi" w:cstheme="majorHAnsi"/>
          <w:sz w:val="20"/>
          <w:szCs w:val="20"/>
        </w:rPr>
        <w:t xml:space="preserve"> related documentation, which </w:t>
      </w:r>
      <w:r w:rsidR="004757AF">
        <w:rPr>
          <w:rFonts w:asciiTheme="majorHAnsi" w:hAnsiTheme="majorHAnsi" w:cstheme="majorHAnsi"/>
          <w:sz w:val="20"/>
          <w:szCs w:val="20"/>
        </w:rPr>
        <w:t xml:space="preserve">enables the evaluation of </w:t>
      </w:r>
      <w:r w:rsidRPr="00AF5F55">
        <w:rPr>
          <w:rFonts w:asciiTheme="majorHAnsi" w:hAnsiTheme="majorHAnsi" w:cstheme="majorHAnsi"/>
          <w:sz w:val="20"/>
          <w:szCs w:val="20"/>
        </w:rPr>
        <w:t xml:space="preserve">the new time series. The documentation </w:t>
      </w:r>
      <w:r w:rsidR="008B5FC4">
        <w:rPr>
          <w:rFonts w:asciiTheme="majorHAnsi" w:hAnsiTheme="majorHAnsi" w:cstheme="majorHAnsi"/>
          <w:sz w:val="20"/>
          <w:szCs w:val="20"/>
        </w:rPr>
        <w:t>should</w:t>
      </w:r>
      <w:r w:rsidRPr="00AF5F55">
        <w:rPr>
          <w:rFonts w:asciiTheme="majorHAnsi" w:hAnsiTheme="majorHAnsi" w:cstheme="majorHAnsi"/>
          <w:sz w:val="20"/>
          <w:szCs w:val="20"/>
        </w:rPr>
        <w:t xml:space="preserve"> include the reasons for revisions, the evaluation of revision impact on aggregates, presentation of a comparative overview of old and new data</w:t>
      </w:r>
      <w:r w:rsidRPr="00AF5F55" w:rsidDel="000240AE">
        <w:rPr>
          <w:rFonts w:asciiTheme="majorHAnsi" w:hAnsiTheme="majorHAnsi" w:cstheme="majorHAnsi"/>
          <w:sz w:val="20"/>
          <w:szCs w:val="20"/>
        </w:rPr>
        <w:t xml:space="preserve"> </w:t>
      </w:r>
      <w:r w:rsidRPr="00AF5F55">
        <w:rPr>
          <w:rFonts w:asciiTheme="majorHAnsi" w:hAnsiTheme="majorHAnsi" w:cstheme="majorHAnsi"/>
          <w:sz w:val="20"/>
          <w:szCs w:val="20"/>
        </w:rPr>
        <w:t xml:space="preserve">and </w:t>
      </w:r>
      <w:r w:rsidR="0089749C">
        <w:rPr>
          <w:rFonts w:asciiTheme="majorHAnsi" w:hAnsiTheme="majorHAnsi" w:cstheme="majorHAnsi"/>
          <w:sz w:val="20"/>
          <w:szCs w:val="20"/>
        </w:rPr>
        <w:t xml:space="preserve">the </w:t>
      </w:r>
      <w:r w:rsidRPr="00AF5F55">
        <w:rPr>
          <w:rFonts w:asciiTheme="majorHAnsi" w:hAnsiTheme="majorHAnsi" w:cstheme="majorHAnsi"/>
          <w:sz w:val="20"/>
          <w:szCs w:val="20"/>
        </w:rPr>
        <w:t>length of revised time series, as well as the level of revision detail. Additionally, prior to a major</w:t>
      </w:r>
      <w:r>
        <w:rPr>
          <w:rFonts w:asciiTheme="majorHAnsi" w:hAnsiTheme="majorHAnsi" w:cstheme="majorHAnsi"/>
          <w:sz w:val="20"/>
          <w:szCs w:val="20"/>
        </w:rPr>
        <w:t xml:space="preserve"> </w:t>
      </w:r>
      <w:r w:rsidRPr="00AF5F55">
        <w:rPr>
          <w:rFonts w:asciiTheme="majorHAnsi" w:hAnsiTheme="majorHAnsi" w:cstheme="majorHAnsi"/>
          <w:sz w:val="20"/>
          <w:szCs w:val="20"/>
        </w:rPr>
        <w:t>revision</w:t>
      </w:r>
      <w:r>
        <w:rPr>
          <w:rFonts w:asciiTheme="majorHAnsi" w:hAnsiTheme="majorHAnsi" w:cstheme="majorHAnsi"/>
          <w:sz w:val="20"/>
          <w:szCs w:val="20"/>
        </w:rPr>
        <w:t>,</w:t>
      </w:r>
      <w:r w:rsidRPr="00AF5F55">
        <w:rPr>
          <w:rFonts w:asciiTheme="majorHAnsi" w:hAnsiTheme="majorHAnsi" w:cstheme="majorHAnsi"/>
          <w:sz w:val="20"/>
          <w:szCs w:val="20"/>
        </w:rPr>
        <w:t xml:space="preserve"> experimental calculations </w:t>
      </w:r>
      <w:r>
        <w:rPr>
          <w:rFonts w:asciiTheme="majorHAnsi" w:hAnsiTheme="majorHAnsi" w:cstheme="majorHAnsi"/>
          <w:sz w:val="20"/>
          <w:szCs w:val="20"/>
        </w:rPr>
        <w:t xml:space="preserve">will be performed </w:t>
      </w:r>
      <w:r w:rsidRPr="00AF5F55">
        <w:rPr>
          <w:rFonts w:asciiTheme="majorHAnsi" w:hAnsiTheme="majorHAnsi" w:cstheme="majorHAnsi"/>
          <w:sz w:val="20"/>
          <w:szCs w:val="20"/>
        </w:rPr>
        <w:t xml:space="preserve">(at least for the most important indicators) and </w:t>
      </w:r>
      <w:r w:rsidR="0089749C">
        <w:rPr>
          <w:rFonts w:asciiTheme="majorHAnsi" w:hAnsiTheme="majorHAnsi" w:cstheme="majorHAnsi"/>
          <w:sz w:val="20"/>
          <w:szCs w:val="20"/>
        </w:rPr>
        <w:t>further on</w:t>
      </w:r>
      <w:r w:rsidR="0089749C" w:rsidRPr="00AF5F55">
        <w:rPr>
          <w:rFonts w:asciiTheme="majorHAnsi" w:hAnsiTheme="majorHAnsi" w:cstheme="majorHAnsi"/>
          <w:sz w:val="20"/>
          <w:szCs w:val="20"/>
        </w:rPr>
        <w:t xml:space="preserve"> </w:t>
      </w:r>
      <w:r w:rsidRPr="00AF5F55">
        <w:rPr>
          <w:rFonts w:asciiTheme="majorHAnsi" w:hAnsiTheme="majorHAnsi" w:cstheme="majorHAnsi"/>
          <w:sz w:val="20"/>
          <w:szCs w:val="20"/>
        </w:rPr>
        <w:t xml:space="preserve">the revision </w:t>
      </w:r>
      <w:r w:rsidR="00831D74" w:rsidRPr="00AF5F55">
        <w:rPr>
          <w:rFonts w:asciiTheme="majorHAnsi" w:hAnsiTheme="majorHAnsi" w:cstheme="majorHAnsi"/>
          <w:sz w:val="20"/>
          <w:szCs w:val="20"/>
        </w:rPr>
        <w:t xml:space="preserve">results of analysis </w:t>
      </w:r>
      <w:r w:rsidR="008B5FC4">
        <w:rPr>
          <w:rFonts w:asciiTheme="majorHAnsi" w:hAnsiTheme="majorHAnsi" w:cstheme="majorHAnsi"/>
          <w:sz w:val="20"/>
          <w:szCs w:val="20"/>
        </w:rPr>
        <w:t>should</w:t>
      </w:r>
      <w:r w:rsidR="00831D74">
        <w:rPr>
          <w:rFonts w:asciiTheme="majorHAnsi" w:hAnsiTheme="majorHAnsi" w:cstheme="majorHAnsi"/>
          <w:sz w:val="20"/>
          <w:szCs w:val="20"/>
        </w:rPr>
        <w:t xml:space="preserve"> be</w:t>
      </w:r>
      <w:r w:rsidRPr="00AF5F55">
        <w:rPr>
          <w:rFonts w:asciiTheme="majorHAnsi" w:hAnsiTheme="majorHAnsi" w:cstheme="majorHAnsi"/>
          <w:sz w:val="20"/>
          <w:szCs w:val="20"/>
        </w:rPr>
        <w:t xml:space="preserve"> publish</w:t>
      </w:r>
      <w:r w:rsidR="00831D74">
        <w:rPr>
          <w:rFonts w:asciiTheme="majorHAnsi" w:hAnsiTheme="majorHAnsi" w:cstheme="majorHAnsi"/>
          <w:sz w:val="20"/>
          <w:szCs w:val="20"/>
        </w:rPr>
        <w:t>ed.</w:t>
      </w:r>
      <w:r w:rsidRPr="00AF5F55">
        <w:rPr>
          <w:rFonts w:asciiTheme="majorHAnsi" w:hAnsiTheme="majorHAnsi" w:cstheme="majorHAnsi"/>
          <w:sz w:val="20"/>
          <w:szCs w:val="20"/>
        </w:rPr>
        <w:t xml:space="preserve"> </w:t>
      </w:r>
    </w:p>
    <w:p w14:paraId="23BD9C5F" w14:textId="0ACE4957" w:rsidR="00B63618" w:rsidRDefault="00B63618" w:rsidP="00B63618">
      <w:pPr>
        <w:jc w:val="both"/>
        <w:rPr>
          <w:rFonts w:asciiTheme="majorHAnsi" w:hAnsiTheme="majorHAnsi" w:cstheme="majorHAnsi"/>
          <w:sz w:val="20"/>
          <w:szCs w:val="20"/>
        </w:rPr>
      </w:pPr>
      <w:r w:rsidRPr="00D116C5">
        <w:rPr>
          <w:rFonts w:asciiTheme="majorHAnsi" w:hAnsiTheme="majorHAnsi" w:cstheme="majorHAnsi"/>
          <w:sz w:val="20"/>
          <w:szCs w:val="20"/>
          <w:lang w:val="en-IE"/>
        </w:rPr>
        <w:t xml:space="preserve">To </w:t>
      </w:r>
      <w:r>
        <w:rPr>
          <w:rFonts w:asciiTheme="majorHAnsi" w:hAnsiTheme="majorHAnsi" w:cstheme="majorHAnsi"/>
          <w:sz w:val="20"/>
          <w:szCs w:val="20"/>
          <w:lang w:val="en-IE"/>
        </w:rPr>
        <w:t>ensure</w:t>
      </w:r>
      <w:r w:rsidRPr="00D116C5">
        <w:rPr>
          <w:rFonts w:asciiTheme="majorHAnsi" w:hAnsiTheme="majorHAnsi" w:cstheme="majorHAnsi"/>
          <w:sz w:val="20"/>
          <w:szCs w:val="20"/>
          <w:lang w:val="en-IE"/>
        </w:rPr>
        <w:t xml:space="preserve"> cross-domain consistency</w:t>
      </w:r>
      <w:r>
        <w:rPr>
          <w:rFonts w:asciiTheme="majorHAnsi" w:hAnsiTheme="majorHAnsi" w:cstheme="majorHAnsi"/>
          <w:sz w:val="20"/>
          <w:szCs w:val="20"/>
          <w:lang w:val="en-IE"/>
        </w:rPr>
        <w:t>,</w:t>
      </w:r>
      <w:r w:rsidRPr="00DD2905">
        <w:rPr>
          <w:rFonts w:asciiTheme="majorHAnsi" w:hAnsiTheme="majorHAnsi" w:cstheme="majorHAnsi"/>
          <w:sz w:val="20"/>
          <w:szCs w:val="20"/>
          <w:lang w:val="en-IE"/>
        </w:rPr>
        <w:t xml:space="preserve"> </w:t>
      </w:r>
      <w:r>
        <w:rPr>
          <w:rFonts w:asciiTheme="majorHAnsi" w:hAnsiTheme="majorHAnsi" w:cstheme="majorHAnsi"/>
          <w:sz w:val="20"/>
          <w:szCs w:val="20"/>
          <w:lang w:val="en-IE"/>
        </w:rPr>
        <w:t>a</w:t>
      </w:r>
      <w:r w:rsidRPr="00DD2905">
        <w:rPr>
          <w:rFonts w:asciiTheme="majorHAnsi" w:hAnsiTheme="majorHAnsi" w:cstheme="majorHAnsi"/>
          <w:sz w:val="20"/>
          <w:szCs w:val="20"/>
          <w:lang w:val="en-IE"/>
        </w:rPr>
        <w:t xml:space="preserve">ll improvements </w:t>
      </w:r>
      <w:r w:rsidRPr="00D116C5">
        <w:rPr>
          <w:rFonts w:asciiTheme="majorHAnsi" w:hAnsiTheme="majorHAnsi" w:cstheme="majorHAnsi"/>
          <w:sz w:val="20"/>
          <w:szCs w:val="20"/>
          <w:lang w:val="en-IE"/>
        </w:rPr>
        <w:t>will be applied across all domains.</w:t>
      </w:r>
    </w:p>
    <w:p w14:paraId="494B4085" w14:textId="273BBB55" w:rsidR="00A747A9" w:rsidRDefault="00A747A9" w:rsidP="002E2F6A">
      <w:pPr>
        <w:jc w:val="both"/>
        <w:rPr>
          <w:rFonts w:asciiTheme="majorHAnsi" w:hAnsiTheme="majorHAnsi" w:cstheme="majorHAnsi"/>
          <w:sz w:val="20"/>
          <w:szCs w:val="20"/>
        </w:rPr>
      </w:pPr>
    </w:p>
    <w:p w14:paraId="398E7B61" w14:textId="73CB66B1" w:rsidR="00A747A9" w:rsidRDefault="00A747A9" w:rsidP="002E2F6A">
      <w:pPr>
        <w:jc w:val="both"/>
        <w:rPr>
          <w:rFonts w:asciiTheme="majorHAnsi" w:hAnsiTheme="majorHAnsi" w:cstheme="majorHAnsi"/>
          <w:sz w:val="20"/>
          <w:szCs w:val="20"/>
        </w:rPr>
      </w:pPr>
    </w:p>
    <w:p w14:paraId="7A5FACE0" w14:textId="64DB728E" w:rsidR="00A747A9" w:rsidRPr="00226FA1" w:rsidRDefault="00A747A9" w:rsidP="00A747A9">
      <w:pPr>
        <w:pStyle w:val="Heading1"/>
      </w:pPr>
      <w:bookmarkStart w:id="4" w:name="_Toc130908748"/>
      <w:r>
        <w:t>I</w:t>
      </w:r>
      <w:r w:rsidRPr="00226FA1">
        <w:t>r</w:t>
      </w:r>
      <w:r>
        <w:t>r</w:t>
      </w:r>
      <w:r w:rsidRPr="00226FA1">
        <w:t>egular revisions</w:t>
      </w:r>
      <w:bookmarkEnd w:id="4"/>
      <w:r w:rsidRPr="00226FA1">
        <w:t xml:space="preserve"> </w:t>
      </w:r>
    </w:p>
    <w:p w14:paraId="4413E987" w14:textId="54110276" w:rsidR="000554EA" w:rsidRDefault="000554EA" w:rsidP="006F4250">
      <w:pPr>
        <w:jc w:val="both"/>
        <w:rPr>
          <w:rFonts w:asciiTheme="majorHAnsi" w:hAnsiTheme="majorHAnsi" w:cstheme="majorHAnsi"/>
          <w:sz w:val="20"/>
          <w:szCs w:val="20"/>
        </w:rPr>
      </w:pPr>
      <w:r w:rsidRPr="000554EA">
        <w:rPr>
          <w:rFonts w:asciiTheme="majorHAnsi" w:hAnsiTheme="majorHAnsi" w:cstheme="majorHAnsi"/>
          <w:sz w:val="20"/>
          <w:szCs w:val="20"/>
        </w:rPr>
        <w:t xml:space="preserve">Non-scheduled revisions are unforeseen changes in published data, which stem from unexpected events. They are </w:t>
      </w:r>
      <w:r w:rsidR="0089749C">
        <w:rPr>
          <w:rFonts w:asciiTheme="majorHAnsi" w:hAnsiTheme="majorHAnsi" w:cstheme="majorHAnsi"/>
          <w:sz w:val="20"/>
          <w:szCs w:val="20"/>
        </w:rPr>
        <w:t>implemented</w:t>
      </w:r>
      <w:r w:rsidR="0089749C" w:rsidRPr="000554EA">
        <w:rPr>
          <w:rFonts w:asciiTheme="majorHAnsi" w:hAnsiTheme="majorHAnsi" w:cstheme="majorHAnsi"/>
          <w:sz w:val="20"/>
          <w:szCs w:val="20"/>
        </w:rPr>
        <w:t xml:space="preserve"> </w:t>
      </w:r>
      <w:r w:rsidRPr="000554EA">
        <w:rPr>
          <w:rFonts w:asciiTheme="majorHAnsi" w:hAnsiTheme="majorHAnsi" w:cstheme="majorHAnsi"/>
          <w:sz w:val="20"/>
          <w:szCs w:val="20"/>
        </w:rPr>
        <w:t xml:space="preserve">upon the detection of </w:t>
      </w:r>
      <w:r w:rsidR="00B746EB" w:rsidRPr="000554EA">
        <w:rPr>
          <w:rFonts w:asciiTheme="majorHAnsi" w:hAnsiTheme="majorHAnsi" w:cstheme="majorHAnsi"/>
          <w:sz w:val="20"/>
          <w:szCs w:val="20"/>
        </w:rPr>
        <w:t xml:space="preserve">errors </w:t>
      </w:r>
      <w:r w:rsidR="00B746EB">
        <w:rPr>
          <w:rFonts w:asciiTheme="majorHAnsi" w:hAnsiTheme="majorHAnsi" w:cstheme="majorHAnsi"/>
          <w:sz w:val="20"/>
          <w:szCs w:val="20"/>
        </w:rPr>
        <w:t>(</w:t>
      </w:r>
      <w:r w:rsidRPr="000554EA">
        <w:rPr>
          <w:rFonts w:asciiTheme="majorHAnsi" w:hAnsiTheme="majorHAnsi" w:cstheme="majorHAnsi"/>
          <w:sz w:val="20"/>
          <w:szCs w:val="20"/>
        </w:rPr>
        <w:t>minor</w:t>
      </w:r>
      <w:r w:rsidR="00B746EB">
        <w:rPr>
          <w:rFonts w:asciiTheme="majorHAnsi" w:hAnsiTheme="majorHAnsi" w:cstheme="majorHAnsi"/>
          <w:sz w:val="20"/>
          <w:szCs w:val="20"/>
        </w:rPr>
        <w:t xml:space="preserve"> or </w:t>
      </w:r>
      <w:r w:rsidRPr="000554EA">
        <w:rPr>
          <w:rFonts w:asciiTheme="majorHAnsi" w:hAnsiTheme="majorHAnsi" w:cstheme="majorHAnsi"/>
          <w:sz w:val="20"/>
          <w:szCs w:val="20"/>
        </w:rPr>
        <w:t>serious</w:t>
      </w:r>
      <w:r w:rsidR="00B746EB">
        <w:rPr>
          <w:rFonts w:asciiTheme="majorHAnsi" w:hAnsiTheme="majorHAnsi" w:cstheme="majorHAnsi"/>
          <w:sz w:val="20"/>
          <w:szCs w:val="20"/>
        </w:rPr>
        <w:t>)</w:t>
      </w:r>
      <w:r w:rsidRPr="000554EA">
        <w:rPr>
          <w:rFonts w:asciiTheme="majorHAnsi" w:hAnsiTheme="majorHAnsi" w:cstheme="majorHAnsi"/>
          <w:sz w:val="20"/>
          <w:szCs w:val="20"/>
        </w:rPr>
        <w:t xml:space="preserve"> in published data/information</w:t>
      </w:r>
      <w:r w:rsidR="00B746EB">
        <w:rPr>
          <w:rFonts w:asciiTheme="majorHAnsi" w:hAnsiTheme="majorHAnsi" w:cstheme="majorHAnsi"/>
          <w:sz w:val="20"/>
          <w:szCs w:val="20"/>
        </w:rPr>
        <w:t>.</w:t>
      </w:r>
      <w:r w:rsidRPr="000554EA">
        <w:rPr>
          <w:rFonts w:asciiTheme="majorHAnsi" w:hAnsiTheme="majorHAnsi" w:cstheme="majorHAnsi"/>
          <w:sz w:val="20"/>
          <w:szCs w:val="20"/>
        </w:rPr>
        <w:t xml:space="preserve"> </w:t>
      </w:r>
    </w:p>
    <w:p w14:paraId="7FCEDAEE" w14:textId="73072571" w:rsidR="00FB65B7" w:rsidRDefault="00FB65B7" w:rsidP="006F4250">
      <w:pPr>
        <w:jc w:val="both"/>
        <w:rPr>
          <w:rFonts w:asciiTheme="majorHAnsi" w:hAnsiTheme="majorHAnsi" w:cstheme="majorHAnsi"/>
          <w:sz w:val="20"/>
          <w:szCs w:val="20"/>
        </w:rPr>
      </w:pPr>
      <w:r>
        <w:rPr>
          <w:rFonts w:asciiTheme="majorHAnsi" w:hAnsiTheme="majorHAnsi" w:cstheme="majorHAnsi"/>
          <w:sz w:val="20"/>
          <w:szCs w:val="20"/>
        </w:rPr>
        <w:t>Detail</w:t>
      </w:r>
      <w:r w:rsidR="00906365">
        <w:rPr>
          <w:rFonts w:asciiTheme="majorHAnsi" w:hAnsiTheme="majorHAnsi" w:cstheme="majorHAnsi"/>
          <w:sz w:val="20"/>
          <w:szCs w:val="20"/>
        </w:rPr>
        <w:t>ed</w:t>
      </w:r>
      <w:r>
        <w:rPr>
          <w:rFonts w:asciiTheme="majorHAnsi" w:hAnsiTheme="majorHAnsi" w:cstheme="majorHAnsi"/>
          <w:sz w:val="20"/>
          <w:szCs w:val="20"/>
        </w:rPr>
        <w:t xml:space="preserve"> explanation regarding irregular revisions could be found in the document </w:t>
      </w:r>
      <w:hyperlink r:id="rId9" w:history="1">
        <w:r w:rsidR="00906365">
          <w:rPr>
            <w:rStyle w:val="Hyperlink"/>
            <w:rFonts w:asciiTheme="majorHAnsi" w:hAnsiTheme="majorHAnsi" w:cstheme="majorHAnsi"/>
            <w:sz w:val="20"/>
            <w:szCs w:val="20"/>
          </w:rPr>
          <w:t>"General revision policy"</w:t>
        </w:r>
      </w:hyperlink>
      <w:r w:rsidR="00906365">
        <w:rPr>
          <w:rFonts w:asciiTheme="majorHAnsi" w:hAnsiTheme="majorHAnsi" w:cstheme="majorHAnsi"/>
          <w:sz w:val="20"/>
          <w:szCs w:val="20"/>
        </w:rPr>
        <w:t>.</w:t>
      </w:r>
    </w:p>
    <w:p w14:paraId="17C43EEF" w14:textId="77777777" w:rsidR="00A747A9" w:rsidRPr="00226FA1" w:rsidRDefault="00A747A9" w:rsidP="002E2F6A">
      <w:pPr>
        <w:jc w:val="both"/>
        <w:rPr>
          <w:rFonts w:asciiTheme="majorHAnsi" w:hAnsiTheme="majorHAnsi" w:cstheme="majorHAnsi"/>
          <w:sz w:val="20"/>
          <w:szCs w:val="20"/>
        </w:rPr>
      </w:pPr>
      <w:bookmarkStart w:id="5" w:name="_GoBack"/>
      <w:bookmarkEnd w:id="5"/>
    </w:p>
    <w:sectPr w:rsidR="00A747A9" w:rsidRPr="00226FA1" w:rsidSect="00BA4670">
      <w:footerReference w:type="even" r:id="rId10"/>
      <w:footerReference w:type="default" r:id="rId11"/>
      <w:pgSz w:w="12240" w:h="15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1439C" w16cex:dateUtc="2023-03-31T09:33:00Z"/>
  <w16cex:commentExtensible w16cex:durableId="27D15851" w16cex:dateUtc="2023-03-31T11:02:00Z"/>
  <w16cex:commentExtensible w16cex:durableId="27D16011" w16cex:dateUtc="2023-03-31T11:35:00Z"/>
  <w16cex:commentExtensible w16cex:durableId="27D16077" w16cex:dateUtc="2023-03-31T11:36:00Z"/>
  <w16cex:commentExtensible w16cex:durableId="27D52A4D" w16cex:dateUtc="2023-04-03T08:34:00Z"/>
  <w16cex:commentExtensible w16cex:durableId="27D533FA" w16cex:dateUtc="2023-04-03T09:16:00Z"/>
  <w16cex:commentExtensible w16cex:durableId="27D5359A" w16cex:dateUtc="2023-04-03T09:23:00Z"/>
  <w16cex:commentExtensible w16cex:durableId="27D53A4E" w16cex:dateUtc="2023-04-03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F5DB90" w16cid:durableId="27D1439C"/>
  <w16cid:commentId w16cid:paraId="497565E4" w16cid:durableId="27D15851"/>
  <w16cid:commentId w16cid:paraId="4B05CACC" w16cid:durableId="27D16011"/>
  <w16cid:commentId w16cid:paraId="2B995EA6" w16cid:durableId="27D16077"/>
  <w16cid:commentId w16cid:paraId="794B65AF" w16cid:durableId="27D52A4D"/>
  <w16cid:commentId w16cid:paraId="4D1F5EA0" w16cid:durableId="27D533FA"/>
  <w16cid:commentId w16cid:paraId="5E7A17D5" w16cid:durableId="27D5359A"/>
  <w16cid:commentId w16cid:paraId="729C1A86" w16cid:durableId="27D53A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C6CB6" w14:textId="77777777" w:rsidR="00F44CF3" w:rsidRDefault="00F44CF3" w:rsidP="008775ED">
      <w:pPr>
        <w:spacing w:after="0" w:line="240" w:lineRule="auto"/>
      </w:pPr>
      <w:r>
        <w:separator/>
      </w:r>
    </w:p>
  </w:endnote>
  <w:endnote w:type="continuationSeparator" w:id="0">
    <w:p w14:paraId="163DC102" w14:textId="77777777" w:rsidR="00F44CF3" w:rsidRDefault="00F44CF3" w:rsidP="0087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203372"/>
      <w:docPartObj>
        <w:docPartGallery w:val="Page Numbers (Bottom of Page)"/>
        <w:docPartUnique/>
      </w:docPartObj>
    </w:sdtPr>
    <w:sdtEndPr>
      <w:rPr>
        <w:noProof/>
      </w:rPr>
    </w:sdtEndPr>
    <w:sdtContent>
      <w:p w14:paraId="4E392B93" w14:textId="4916B903" w:rsidR="00BA4670" w:rsidRDefault="00BA4670">
        <w:pPr>
          <w:pStyle w:val="Footer"/>
        </w:pPr>
        <w:r>
          <w:fldChar w:fldCharType="begin"/>
        </w:r>
        <w:r>
          <w:instrText xml:space="preserve"> PAGE   \* MERGEFORMAT </w:instrText>
        </w:r>
        <w:r>
          <w:fldChar w:fldCharType="separate"/>
        </w:r>
        <w:r>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51304"/>
      <w:docPartObj>
        <w:docPartGallery w:val="Page Numbers (Bottom of Page)"/>
        <w:docPartUnique/>
      </w:docPartObj>
    </w:sdtPr>
    <w:sdtEndPr>
      <w:rPr>
        <w:noProof/>
      </w:rPr>
    </w:sdtEndPr>
    <w:sdtContent>
      <w:p w14:paraId="2C9EF0CD" w14:textId="5F208159" w:rsidR="00856101" w:rsidRDefault="00856101">
        <w:pPr>
          <w:pStyle w:val="Footer"/>
          <w:jc w:val="right"/>
        </w:pPr>
        <w:r>
          <w:fldChar w:fldCharType="begin"/>
        </w:r>
        <w:r>
          <w:instrText xml:space="preserve"> PAGE   \* MERGEFORMAT </w:instrText>
        </w:r>
        <w:r>
          <w:fldChar w:fldCharType="separate"/>
        </w:r>
        <w:r w:rsidR="00BA4670">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437FF" w14:textId="77777777" w:rsidR="00F44CF3" w:rsidRDefault="00F44CF3" w:rsidP="008775ED">
      <w:pPr>
        <w:spacing w:after="0" w:line="240" w:lineRule="auto"/>
      </w:pPr>
      <w:r>
        <w:separator/>
      </w:r>
    </w:p>
  </w:footnote>
  <w:footnote w:type="continuationSeparator" w:id="0">
    <w:p w14:paraId="060669DD" w14:textId="77777777" w:rsidR="00F44CF3" w:rsidRDefault="00F44CF3" w:rsidP="008775ED">
      <w:pPr>
        <w:spacing w:after="0" w:line="240" w:lineRule="auto"/>
      </w:pPr>
      <w:r>
        <w:continuationSeparator/>
      </w:r>
    </w:p>
  </w:footnote>
  <w:footnote w:id="1">
    <w:p w14:paraId="58F3F86B" w14:textId="77777777" w:rsidR="008775ED" w:rsidRPr="0093425C" w:rsidRDefault="008775ED" w:rsidP="008775ED">
      <w:pPr>
        <w:pStyle w:val="FootnoteText"/>
        <w:rPr>
          <w:lang w:val="en-GB"/>
        </w:rPr>
      </w:pPr>
      <w:r>
        <w:rPr>
          <w:rStyle w:val="FootnoteReference"/>
        </w:rPr>
        <w:footnoteRef/>
      </w:r>
      <w:r>
        <w:t xml:space="preserve"> </w:t>
      </w:r>
      <w:hyperlink r:id="rId1" w:history="1">
        <w:r>
          <w:rPr>
            <w:rStyle w:val="Hyperlink"/>
          </w:rPr>
          <w:t>https://www.cmfb.org/main-topics/revision-policy</w:t>
        </w:r>
      </w:hyperlink>
    </w:p>
  </w:footnote>
  <w:footnote w:id="2">
    <w:p w14:paraId="228E17EF" w14:textId="77777777" w:rsidR="008775ED" w:rsidRPr="0093425C" w:rsidRDefault="008775ED" w:rsidP="008775ED">
      <w:pPr>
        <w:pStyle w:val="FootnoteText"/>
        <w:rPr>
          <w:lang w:val="en-GB"/>
        </w:rPr>
      </w:pPr>
      <w:r>
        <w:rPr>
          <w:rStyle w:val="FootnoteReference"/>
        </w:rPr>
        <w:footnoteRef/>
      </w:r>
      <w:r>
        <w:t xml:space="preserve"> </w:t>
      </w:r>
      <w:hyperlink r:id="rId2" w:history="1">
        <w:r>
          <w:rPr>
            <w:rStyle w:val="Hyperlink"/>
          </w:rPr>
          <w:t>https://ec.europa.eu/eurostat/documents/3859598/9530664/KS-GQ-18-012-EN-N.pdf</w:t>
        </w:r>
      </w:hyperlink>
    </w:p>
  </w:footnote>
  <w:footnote w:id="3">
    <w:p w14:paraId="3391822A" w14:textId="50786058" w:rsidR="00837CD9" w:rsidRDefault="00837CD9" w:rsidP="00837CD9">
      <w:pPr>
        <w:pStyle w:val="FootnoteText"/>
        <w:jc w:val="both"/>
      </w:pPr>
      <w:r w:rsidRPr="0094529B">
        <w:rPr>
          <w:rStyle w:val="FootnoteReference"/>
        </w:rPr>
        <w:footnoteRef/>
      </w:r>
      <w:r w:rsidRPr="0094529B">
        <w:t xml:space="preserve"> </w:t>
      </w:r>
      <w:r w:rsidRPr="0094529B">
        <w:rPr>
          <w:rFonts w:asciiTheme="majorHAnsi" w:hAnsiTheme="majorHAnsi" w:cstheme="majorHAnsi"/>
        </w:rPr>
        <w:t xml:space="preserve">SUT should be updated for the year </w:t>
      </w:r>
      <w:r w:rsidR="00E21A3E" w:rsidRPr="0094529B">
        <w:rPr>
          <w:rFonts w:asciiTheme="majorHAnsi" w:hAnsiTheme="majorHAnsi" w:cstheme="majorHAnsi"/>
        </w:rPr>
        <w:t>t</w:t>
      </w:r>
      <w:r w:rsidRPr="0094529B">
        <w:rPr>
          <w:rFonts w:asciiTheme="majorHAnsi" w:hAnsiTheme="majorHAnsi" w:cstheme="majorHAnsi"/>
        </w:rPr>
        <w:t>-4 (followed in December by the transmission of supp</w:t>
      </w:r>
      <w:r w:rsidR="00E21A3E" w:rsidRPr="0094529B">
        <w:rPr>
          <w:rFonts w:asciiTheme="majorHAnsi" w:hAnsiTheme="majorHAnsi" w:cstheme="majorHAnsi"/>
        </w:rPr>
        <w:t>ly and use tables for the year t</w:t>
      </w:r>
      <w:r w:rsidRPr="0094529B">
        <w:rPr>
          <w:rFonts w:asciiTheme="majorHAnsi" w:hAnsiTheme="majorHAnsi" w:cstheme="majorHAnsi"/>
        </w:rPr>
        <w:t>-3, as required by the transmission programme) in case of major (benchmark) revisions.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17A8"/>
    <w:multiLevelType w:val="hybridMultilevel"/>
    <w:tmpl w:val="9C5E5420"/>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C380DAC"/>
    <w:multiLevelType w:val="hybridMultilevel"/>
    <w:tmpl w:val="5FE2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C32AC"/>
    <w:multiLevelType w:val="hybridMultilevel"/>
    <w:tmpl w:val="6C5A5556"/>
    <w:lvl w:ilvl="0" w:tplc="27F8B34C">
      <w:start w:val="1"/>
      <w:numFmt w:val="bullet"/>
      <w:lvlText w:val="-"/>
      <w:lvlJc w:val="left"/>
      <w:pPr>
        <w:ind w:left="720" w:hanging="360"/>
      </w:pPr>
      <w:rPr>
        <w:rFonts w:ascii="Calibri Light" w:eastAsiaTheme="minorHAnsi" w:hAnsi="Calibri Light" w:cs="Calibri Light"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398F72A6"/>
    <w:multiLevelType w:val="hybridMultilevel"/>
    <w:tmpl w:val="4FF6E2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D41A8"/>
    <w:multiLevelType w:val="hybridMultilevel"/>
    <w:tmpl w:val="F3C8D790"/>
    <w:lvl w:ilvl="0" w:tplc="0409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 w15:restartNumberingAfterBreak="0">
    <w:nsid w:val="432D4D04"/>
    <w:multiLevelType w:val="hybridMultilevel"/>
    <w:tmpl w:val="9C96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12D6A"/>
    <w:multiLevelType w:val="hybridMultilevel"/>
    <w:tmpl w:val="F18C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56116"/>
    <w:multiLevelType w:val="hybridMultilevel"/>
    <w:tmpl w:val="B7E4541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15:restartNumberingAfterBreak="0">
    <w:nsid w:val="79BD2560"/>
    <w:multiLevelType w:val="hybridMultilevel"/>
    <w:tmpl w:val="FA8097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6"/>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8"/>
  </w:num>
  <w:num w:numId="24">
    <w:abstractNumId w:val="2"/>
  </w:num>
  <w:num w:numId="25">
    <w:abstractNumId w:val="0"/>
  </w:num>
  <w:num w:numId="26">
    <w:abstractNumId w:val="5"/>
  </w:num>
  <w:num w:numId="27">
    <w:abstractNumId w:val="9"/>
  </w:num>
  <w:num w:numId="28">
    <w:abstractNumId w:val="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0"/>
  <w:activeWritingStyle w:appName="MSWord" w:lang="en-IE" w:vendorID="64" w:dllVersion="6" w:nlCheck="1" w:checkStyle="1"/>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IE" w:vendorID="64" w:dllVersion="131078" w:nlCheck="1" w:checkStyle="1"/>
  <w:proofState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775ED"/>
    <w:rsid w:val="00007230"/>
    <w:rsid w:val="00010CA4"/>
    <w:rsid w:val="00037125"/>
    <w:rsid w:val="000441FB"/>
    <w:rsid w:val="000554EA"/>
    <w:rsid w:val="00073A0D"/>
    <w:rsid w:val="00081798"/>
    <w:rsid w:val="00083342"/>
    <w:rsid w:val="00090F9E"/>
    <w:rsid w:val="000A55B7"/>
    <w:rsid w:val="000B5DC8"/>
    <w:rsid w:val="000F372C"/>
    <w:rsid w:val="000F3C39"/>
    <w:rsid w:val="000F4530"/>
    <w:rsid w:val="0012378E"/>
    <w:rsid w:val="00155D3C"/>
    <w:rsid w:val="00157A27"/>
    <w:rsid w:val="00170EB9"/>
    <w:rsid w:val="00175D4D"/>
    <w:rsid w:val="00184931"/>
    <w:rsid w:val="0018731C"/>
    <w:rsid w:val="001877A3"/>
    <w:rsid w:val="001919E6"/>
    <w:rsid w:val="001922A3"/>
    <w:rsid w:val="001A367C"/>
    <w:rsid w:val="001B7D1B"/>
    <w:rsid w:val="001C06F2"/>
    <w:rsid w:val="001C0912"/>
    <w:rsid w:val="001D2575"/>
    <w:rsid w:val="001F3FA7"/>
    <w:rsid w:val="00200577"/>
    <w:rsid w:val="00201B26"/>
    <w:rsid w:val="00201E6E"/>
    <w:rsid w:val="002070F4"/>
    <w:rsid w:val="0021296A"/>
    <w:rsid w:val="00216B80"/>
    <w:rsid w:val="002267EC"/>
    <w:rsid w:val="00226FA1"/>
    <w:rsid w:val="002274F9"/>
    <w:rsid w:val="0024536E"/>
    <w:rsid w:val="0025789C"/>
    <w:rsid w:val="002610A6"/>
    <w:rsid w:val="00262299"/>
    <w:rsid w:val="00265DBE"/>
    <w:rsid w:val="0026691C"/>
    <w:rsid w:val="002760A4"/>
    <w:rsid w:val="00286904"/>
    <w:rsid w:val="00287B3D"/>
    <w:rsid w:val="00292F43"/>
    <w:rsid w:val="002A1442"/>
    <w:rsid w:val="002C3622"/>
    <w:rsid w:val="002C5998"/>
    <w:rsid w:val="002D2CBC"/>
    <w:rsid w:val="002E2F6A"/>
    <w:rsid w:val="002F279A"/>
    <w:rsid w:val="00317412"/>
    <w:rsid w:val="00336A87"/>
    <w:rsid w:val="00340E24"/>
    <w:rsid w:val="00341FBB"/>
    <w:rsid w:val="0035629F"/>
    <w:rsid w:val="00381D53"/>
    <w:rsid w:val="00384378"/>
    <w:rsid w:val="00384D19"/>
    <w:rsid w:val="00386E13"/>
    <w:rsid w:val="00392950"/>
    <w:rsid w:val="003938CC"/>
    <w:rsid w:val="003C2890"/>
    <w:rsid w:val="003C6044"/>
    <w:rsid w:val="003E2B98"/>
    <w:rsid w:val="003F21FF"/>
    <w:rsid w:val="00406F67"/>
    <w:rsid w:val="00410DAF"/>
    <w:rsid w:val="00414A55"/>
    <w:rsid w:val="004203D1"/>
    <w:rsid w:val="00422833"/>
    <w:rsid w:val="00432631"/>
    <w:rsid w:val="00446FD9"/>
    <w:rsid w:val="004476DB"/>
    <w:rsid w:val="004560A2"/>
    <w:rsid w:val="0046514C"/>
    <w:rsid w:val="00473448"/>
    <w:rsid w:val="004757AF"/>
    <w:rsid w:val="0048061E"/>
    <w:rsid w:val="00481622"/>
    <w:rsid w:val="00483167"/>
    <w:rsid w:val="00491F77"/>
    <w:rsid w:val="004C0C8C"/>
    <w:rsid w:val="004C7E82"/>
    <w:rsid w:val="004D76BE"/>
    <w:rsid w:val="004E6658"/>
    <w:rsid w:val="00500157"/>
    <w:rsid w:val="00540D86"/>
    <w:rsid w:val="00547B7F"/>
    <w:rsid w:val="00551F58"/>
    <w:rsid w:val="00552D4A"/>
    <w:rsid w:val="0056196E"/>
    <w:rsid w:val="00573FC0"/>
    <w:rsid w:val="00587E16"/>
    <w:rsid w:val="005A4D84"/>
    <w:rsid w:val="005C0E7F"/>
    <w:rsid w:val="005C7787"/>
    <w:rsid w:val="005D2C2B"/>
    <w:rsid w:val="005D5368"/>
    <w:rsid w:val="005D7564"/>
    <w:rsid w:val="005E26A2"/>
    <w:rsid w:val="005E6278"/>
    <w:rsid w:val="00605A62"/>
    <w:rsid w:val="00633DCF"/>
    <w:rsid w:val="006538A5"/>
    <w:rsid w:val="006629AC"/>
    <w:rsid w:val="00664F64"/>
    <w:rsid w:val="006720AC"/>
    <w:rsid w:val="00686F18"/>
    <w:rsid w:val="0069209E"/>
    <w:rsid w:val="006A405B"/>
    <w:rsid w:val="006C7FCB"/>
    <w:rsid w:val="006D03A3"/>
    <w:rsid w:val="006D1DB3"/>
    <w:rsid w:val="006E289C"/>
    <w:rsid w:val="006F4250"/>
    <w:rsid w:val="00700BBA"/>
    <w:rsid w:val="00715AAD"/>
    <w:rsid w:val="00720FCE"/>
    <w:rsid w:val="00726F7D"/>
    <w:rsid w:val="00744AE3"/>
    <w:rsid w:val="00746D4F"/>
    <w:rsid w:val="0075082B"/>
    <w:rsid w:val="0078757D"/>
    <w:rsid w:val="007901EE"/>
    <w:rsid w:val="0079601F"/>
    <w:rsid w:val="007A2997"/>
    <w:rsid w:val="007A72A1"/>
    <w:rsid w:val="007B0F00"/>
    <w:rsid w:val="007B6A0C"/>
    <w:rsid w:val="007C6785"/>
    <w:rsid w:val="007E1F25"/>
    <w:rsid w:val="007E4528"/>
    <w:rsid w:val="007F211A"/>
    <w:rsid w:val="00820C1C"/>
    <w:rsid w:val="00822E12"/>
    <w:rsid w:val="008267EE"/>
    <w:rsid w:val="0082768F"/>
    <w:rsid w:val="00831D74"/>
    <w:rsid w:val="00837CD9"/>
    <w:rsid w:val="008474F3"/>
    <w:rsid w:val="0085300F"/>
    <w:rsid w:val="00856101"/>
    <w:rsid w:val="00863DC6"/>
    <w:rsid w:val="008664D4"/>
    <w:rsid w:val="008775ED"/>
    <w:rsid w:val="00880E03"/>
    <w:rsid w:val="0089749C"/>
    <w:rsid w:val="008A12E3"/>
    <w:rsid w:val="008A3384"/>
    <w:rsid w:val="008A4367"/>
    <w:rsid w:val="008B5FC4"/>
    <w:rsid w:val="008D1833"/>
    <w:rsid w:val="008D3F3B"/>
    <w:rsid w:val="008D70B2"/>
    <w:rsid w:val="008E41C5"/>
    <w:rsid w:val="00906365"/>
    <w:rsid w:val="00915106"/>
    <w:rsid w:val="00921B49"/>
    <w:rsid w:val="00926D17"/>
    <w:rsid w:val="0093531F"/>
    <w:rsid w:val="009368FE"/>
    <w:rsid w:val="00940441"/>
    <w:rsid w:val="0094529B"/>
    <w:rsid w:val="00963341"/>
    <w:rsid w:val="009674B3"/>
    <w:rsid w:val="0097362F"/>
    <w:rsid w:val="00996924"/>
    <w:rsid w:val="009A46B3"/>
    <w:rsid w:val="009B0832"/>
    <w:rsid w:val="009B4CFC"/>
    <w:rsid w:val="009B75D6"/>
    <w:rsid w:val="009D1720"/>
    <w:rsid w:val="009E19F8"/>
    <w:rsid w:val="009E24E1"/>
    <w:rsid w:val="009F7AA4"/>
    <w:rsid w:val="00A01C05"/>
    <w:rsid w:val="00A01E27"/>
    <w:rsid w:val="00A24241"/>
    <w:rsid w:val="00A40A9D"/>
    <w:rsid w:val="00A423A8"/>
    <w:rsid w:val="00A56B67"/>
    <w:rsid w:val="00A60204"/>
    <w:rsid w:val="00A747A9"/>
    <w:rsid w:val="00A8003B"/>
    <w:rsid w:val="00A83CF1"/>
    <w:rsid w:val="00A85D27"/>
    <w:rsid w:val="00AA2301"/>
    <w:rsid w:val="00AA5DDE"/>
    <w:rsid w:val="00AB1172"/>
    <w:rsid w:val="00AB12DE"/>
    <w:rsid w:val="00AB1DBB"/>
    <w:rsid w:val="00AC0B75"/>
    <w:rsid w:val="00AC1D27"/>
    <w:rsid w:val="00AC3AC1"/>
    <w:rsid w:val="00AF0E2A"/>
    <w:rsid w:val="00AF4C94"/>
    <w:rsid w:val="00AF5F55"/>
    <w:rsid w:val="00AF676D"/>
    <w:rsid w:val="00B07F19"/>
    <w:rsid w:val="00B13CC8"/>
    <w:rsid w:val="00B14BE7"/>
    <w:rsid w:val="00B20D75"/>
    <w:rsid w:val="00B20F51"/>
    <w:rsid w:val="00B305FC"/>
    <w:rsid w:val="00B330F2"/>
    <w:rsid w:val="00B33DEF"/>
    <w:rsid w:val="00B4367A"/>
    <w:rsid w:val="00B50CAE"/>
    <w:rsid w:val="00B63618"/>
    <w:rsid w:val="00B636D4"/>
    <w:rsid w:val="00B6656F"/>
    <w:rsid w:val="00B746EB"/>
    <w:rsid w:val="00B87898"/>
    <w:rsid w:val="00B901D1"/>
    <w:rsid w:val="00BA1E9F"/>
    <w:rsid w:val="00BA40CE"/>
    <w:rsid w:val="00BA4670"/>
    <w:rsid w:val="00BA553B"/>
    <w:rsid w:val="00BD3635"/>
    <w:rsid w:val="00BE2573"/>
    <w:rsid w:val="00BE34BF"/>
    <w:rsid w:val="00BE4056"/>
    <w:rsid w:val="00BE4A31"/>
    <w:rsid w:val="00BE6C0A"/>
    <w:rsid w:val="00BF0746"/>
    <w:rsid w:val="00BF3882"/>
    <w:rsid w:val="00C020A1"/>
    <w:rsid w:val="00C073E2"/>
    <w:rsid w:val="00C26B86"/>
    <w:rsid w:val="00C453A0"/>
    <w:rsid w:val="00C54390"/>
    <w:rsid w:val="00C72244"/>
    <w:rsid w:val="00C84F92"/>
    <w:rsid w:val="00C85F91"/>
    <w:rsid w:val="00C925C3"/>
    <w:rsid w:val="00CA16E9"/>
    <w:rsid w:val="00CD3DBB"/>
    <w:rsid w:val="00CF2375"/>
    <w:rsid w:val="00CF7988"/>
    <w:rsid w:val="00D06974"/>
    <w:rsid w:val="00D116C5"/>
    <w:rsid w:val="00D35D21"/>
    <w:rsid w:val="00D46008"/>
    <w:rsid w:val="00D47963"/>
    <w:rsid w:val="00D60464"/>
    <w:rsid w:val="00D620D8"/>
    <w:rsid w:val="00D678AA"/>
    <w:rsid w:val="00D77D8E"/>
    <w:rsid w:val="00D87B8F"/>
    <w:rsid w:val="00D93143"/>
    <w:rsid w:val="00DB37C4"/>
    <w:rsid w:val="00DC73AB"/>
    <w:rsid w:val="00DD0BF2"/>
    <w:rsid w:val="00E0067E"/>
    <w:rsid w:val="00E1558D"/>
    <w:rsid w:val="00E21A3E"/>
    <w:rsid w:val="00E2711D"/>
    <w:rsid w:val="00E30495"/>
    <w:rsid w:val="00E3064E"/>
    <w:rsid w:val="00E31115"/>
    <w:rsid w:val="00E339F2"/>
    <w:rsid w:val="00E36CA9"/>
    <w:rsid w:val="00E518AC"/>
    <w:rsid w:val="00E670B5"/>
    <w:rsid w:val="00E97828"/>
    <w:rsid w:val="00EC1C68"/>
    <w:rsid w:val="00EC2D37"/>
    <w:rsid w:val="00EC3250"/>
    <w:rsid w:val="00ED16B9"/>
    <w:rsid w:val="00ED62E6"/>
    <w:rsid w:val="00ED6625"/>
    <w:rsid w:val="00EF71F8"/>
    <w:rsid w:val="00F07256"/>
    <w:rsid w:val="00F130B4"/>
    <w:rsid w:val="00F377BD"/>
    <w:rsid w:val="00F40A57"/>
    <w:rsid w:val="00F40BD1"/>
    <w:rsid w:val="00F44CF3"/>
    <w:rsid w:val="00F53345"/>
    <w:rsid w:val="00F705C1"/>
    <w:rsid w:val="00F848A6"/>
    <w:rsid w:val="00F85776"/>
    <w:rsid w:val="00F94A72"/>
    <w:rsid w:val="00F97447"/>
    <w:rsid w:val="00FA0D05"/>
    <w:rsid w:val="00FA1A1D"/>
    <w:rsid w:val="00FA5BA2"/>
    <w:rsid w:val="00FB65B7"/>
    <w:rsid w:val="00FC61B6"/>
    <w:rsid w:val="00FD2D01"/>
    <w:rsid w:val="00FD623F"/>
    <w:rsid w:val="00FE4631"/>
    <w:rsid w:val="00FE55C7"/>
    <w:rsid w:val="00FF34B5"/>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803C"/>
  <w15:docId w15:val="{7979AD37-B8C9-447E-981C-70B2FC18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D75"/>
  </w:style>
  <w:style w:type="paragraph" w:styleId="Heading1">
    <w:name w:val="heading 1"/>
    <w:basedOn w:val="Normal"/>
    <w:next w:val="Normal"/>
    <w:link w:val="Heading1Char"/>
    <w:uiPriority w:val="9"/>
    <w:qFormat/>
    <w:rsid w:val="008775ED"/>
    <w:pPr>
      <w:keepNext/>
      <w:keepLines/>
      <w:numPr>
        <w:numId w:val="2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8775ED"/>
    <w:pPr>
      <w:keepNext/>
      <w:keepLines/>
      <w:numPr>
        <w:ilvl w:val="1"/>
        <w:numId w:val="2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8775ED"/>
    <w:pPr>
      <w:keepNext/>
      <w:keepLines/>
      <w:numPr>
        <w:ilvl w:val="2"/>
        <w:numId w:val="2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775ED"/>
    <w:pPr>
      <w:keepNext/>
      <w:keepLines/>
      <w:numPr>
        <w:ilvl w:val="3"/>
        <w:numId w:val="2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775ED"/>
    <w:pPr>
      <w:keepNext/>
      <w:keepLines/>
      <w:numPr>
        <w:ilvl w:val="4"/>
        <w:numId w:val="2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8775ED"/>
    <w:pPr>
      <w:keepNext/>
      <w:keepLines/>
      <w:numPr>
        <w:ilvl w:val="5"/>
        <w:numId w:val="2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8775ED"/>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75ED"/>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775ED"/>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5ED"/>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8775ED"/>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8775E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775E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775ED"/>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8775ED"/>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8775E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775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775E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775E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775E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775ED"/>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775ED"/>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775ED"/>
    <w:rPr>
      <w:color w:val="5A5A5A" w:themeColor="text1" w:themeTint="A5"/>
      <w:spacing w:val="10"/>
    </w:rPr>
  </w:style>
  <w:style w:type="character" w:styleId="Strong">
    <w:name w:val="Strong"/>
    <w:basedOn w:val="DefaultParagraphFont"/>
    <w:uiPriority w:val="22"/>
    <w:qFormat/>
    <w:rsid w:val="008775ED"/>
    <w:rPr>
      <w:b/>
      <w:bCs/>
      <w:color w:val="000000" w:themeColor="text1"/>
    </w:rPr>
  </w:style>
  <w:style w:type="character" w:styleId="Emphasis">
    <w:name w:val="Emphasis"/>
    <w:basedOn w:val="DefaultParagraphFont"/>
    <w:uiPriority w:val="20"/>
    <w:qFormat/>
    <w:rsid w:val="008775ED"/>
    <w:rPr>
      <w:i/>
      <w:iCs/>
      <w:color w:val="auto"/>
    </w:rPr>
  </w:style>
  <w:style w:type="paragraph" w:styleId="NoSpacing">
    <w:name w:val="No Spacing"/>
    <w:uiPriority w:val="1"/>
    <w:qFormat/>
    <w:rsid w:val="008775ED"/>
    <w:pPr>
      <w:spacing w:after="0" w:line="240" w:lineRule="auto"/>
    </w:pPr>
  </w:style>
  <w:style w:type="paragraph" w:styleId="Quote">
    <w:name w:val="Quote"/>
    <w:basedOn w:val="Normal"/>
    <w:next w:val="Normal"/>
    <w:link w:val="QuoteChar"/>
    <w:uiPriority w:val="29"/>
    <w:qFormat/>
    <w:rsid w:val="008775ED"/>
    <w:pPr>
      <w:spacing w:before="160"/>
      <w:ind w:left="720" w:right="720"/>
    </w:pPr>
    <w:rPr>
      <w:i/>
      <w:iCs/>
      <w:color w:val="000000" w:themeColor="text1"/>
    </w:rPr>
  </w:style>
  <w:style w:type="character" w:customStyle="1" w:styleId="QuoteChar">
    <w:name w:val="Quote Char"/>
    <w:basedOn w:val="DefaultParagraphFont"/>
    <w:link w:val="Quote"/>
    <w:uiPriority w:val="29"/>
    <w:rsid w:val="008775ED"/>
    <w:rPr>
      <w:i/>
      <w:iCs/>
      <w:color w:val="000000" w:themeColor="text1"/>
    </w:rPr>
  </w:style>
  <w:style w:type="paragraph" w:styleId="IntenseQuote">
    <w:name w:val="Intense Quote"/>
    <w:basedOn w:val="Normal"/>
    <w:next w:val="Normal"/>
    <w:link w:val="IntenseQuoteChar"/>
    <w:uiPriority w:val="30"/>
    <w:qFormat/>
    <w:rsid w:val="008775E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775ED"/>
    <w:rPr>
      <w:color w:val="000000" w:themeColor="text1"/>
      <w:shd w:val="clear" w:color="auto" w:fill="F2F2F2" w:themeFill="background1" w:themeFillShade="F2"/>
    </w:rPr>
  </w:style>
  <w:style w:type="character" w:styleId="SubtleEmphasis">
    <w:name w:val="Subtle Emphasis"/>
    <w:basedOn w:val="DefaultParagraphFont"/>
    <w:uiPriority w:val="19"/>
    <w:qFormat/>
    <w:rsid w:val="008775ED"/>
    <w:rPr>
      <w:i/>
      <w:iCs/>
      <w:color w:val="404040" w:themeColor="text1" w:themeTint="BF"/>
    </w:rPr>
  </w:style>
  <w:style w:type="character" w:styleId="IntenseEmphasis">
    <w:name w:val="Intense Emphasis"/>
    <w:basedOn w:val="DefaultParagraphFont"/>
    <w:uiPriority w:val="21"/>
    <w:qFormat/>
    <w:rsid w:val="008775ED"/>
    <w:rPr>
      <w:b/>
      <w:bCs/>
      <w:i/>
      <w:iCs/>
      <w:caps/>
    </w:rPr>
  </w:style>
  <w:style w:type="character" w:styleId="SubtleReference">
    <w:name w:val="Subtle Reference"/>
    <w:basedOn w:val="DefaultParagraphFont"/>
    <w:uiPriority w:val="31"/>
    <w:qFormat/>
    <w:rsid w:val="008775E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775ED"/>
    <w:rPr>
      <w:b/>
      <w:bCs/>
      <w:smallCaps/>
      <w:u w:val="single"/>
    </w:rPr>
  </w:style>
  <w:style w:type="character" w:styleId="BookTitle">
    <w:name w:val="Book Title"/>
    <w:basedOn w:val="DefaultParagraphFont"/>
    <w:uiPriority w:val="33"/>
    <w:qFormat/>
    <w:rsid w:val="008775ED"/>
    <w:rPr>
      <w:b w:val="0"/>
      <w:bCs w:val="0"/>
      <w:smallCaps/>
      <w:spacing w:val="5"/>
    </w:rPr>
  </w:style>
  <w:style w:type="paragraph" w:styleId="TOCHeading">
    <w:name w:val="TOC Heading"/>
    <w:basedOn w:val="Heading1"/>
    <w:next w:val="Normal"/>
    <w:uiPriority w:val="39"/>
    <w:unhideWhenUsed/>
    <w:qFormat/>
    <w:rsid w:val="008775ED"/>
    <w:pPr>
      <w:outlineLvl w:val="9"/>
    </w:pPr>
  </w:style>
  <w:style w:type="paragraph" w:styleId="FootnoteText">
    <w:name w:val="footnote text"/>
    <w:basedOn w:val="Normal"/>
    <w:link w:val="FootnoteTextChar"/>
    <w:uiPriority w:val="99"/>
    <w:semiHidden/>
    <w:unhideWhenUsed/>
    <w:rsid w:val="008775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5ED"/>
    <w:rPr>
      <w:sz w:val="20"/>
      <w:szCs w:val="20"/>
    </w:rPr>
  </w:style>
  <w:style w:type="table" w:styleId="TableGrid">
    <w:name w:val="Table Grid"/>
    <w:basedOn w:val="TableNormal"/>
    <w:uiPriority w:val="39"/>
    <w:rsid w:val="008775E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8775ED"/>
    <w:rPr>
      <w:vertAlign w:val="superscript"/>
    </w:rPr>
  </w:style>
  <w:style w:type="character" w:styleId="Hyperlink">
    <w:name w:val="Hyperlink"/>
    <w:basedOn w:val="DefaultParagraphFont"/>
    <w:uiPriority w:val="99"/>
    <w:unhideWhenUsed/>
    <w:rsid w:val="008775ED"/>
    <w:rPr>
      <w:color w:val="0000FF"/>
      <w:u w:val="single"/>
    </w:rPr>
  </w:style>
  <w:style w:type="table" w:customStyle="1" w:styleId="TableGrid1">
    <w:name w:val="Table Grid1"/>
    <w:basedOn w:val="TableNormal"/>
    <w:next w:val="TableGrid"/>
    <w:uiPriority w:val="39"/>
    <w:rsid w:val="008775E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75E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ED"/>
    <w:rPr>
      <w:rFonts w:ascii="Segoe UI" w:hAnsi="Segoe UI" w:cs="Segoe UI"/>
      <w:sz w:val="18"/>
      <w:szCs w:val="18"/>
    </w:rPr>
  </w:style>
  <w:style w:type="paragraph" w:styleId="ListParagraph">
    <w:name w:val="List Paragraph"/>
    <w:basedOn w:val="Normal"/>
    <w:uiPriority w:val="34"/>
    <w:qFormat/>
    <w:rsid w:val="008775ED"/>
    <w:pPr>
      <w:ind w:left="720"/>
      <w:contextualSpacing/>
    </w:pPr>
    <w:rPr>
      <w:rFonts w:eastAsiaTheme="minorHAnsi"/>
    </w:rPr>
  </w:style>
  <w:style w:type="paragraph" w:styleId="TOC1">
    <w:name w:val="toc 1"/>
    <w:basedOn w:val="Normal"/>
    <w:next w:val="Normal"/>
    <w:autoRedefine/>
    <w:uiPriority w:val="39"/>
    <w:unhideWhenUsed/>
    <w:rsid w:val="006A405B"/>
    <w:pPr>
      <w:tabs>
        <w:tab w:val="left" w:pos="440"/>
        <w:tab w:val="right" w:leader="dot" w:pos="9350"/>
      </w:tabs>
      <w:spacing w:after="100"/>
    </w:pPr>
  </w:style>
  <w:style w:type="paragraph" w:styleId="TOC2">
    <w:name w:val="toc 2"/>
    <w:basedOn w:val="Normal"/>
    <w:next w:val="Normal"/>
    <w:autoRedefine/>
    <w:uiPriority w:val="39"/>
    <w:unhideWhenUsed/>
    <w:rsid w:val="008775ED"/>
    <w:pPr>
      <w:spacing w:after="100"/>
      <w:ind w:left="220"/>
    </w:pPr>
  </w:style>
  <w:style w:type="character" w:styleId="FollowedHyperlink">
    <w:name w:val="FollowedHyperlink"/>
    <w:basedOn w:val="DefaultParagraphFont"/>
    <w:uiPriority w:val="99"/>
    <w:semiHidden/>
    <w:unhideWhenUsed/>
    <w:rsid w:val="00C54390"/>
    <w:rPr>
      <w:color w:val="954F72" w:themeColor="followedHyperlink"/>
      <w:u w:val="single"/>
    </w:rPr>
  </w:style>
  <w:style w:type="paragraph" w:styleId="Header">
    <w:name w:val="header"/>
    <w:basedOn w:val="Normal"/>
    <w:link w:val="HeaderChar"/>
    <w:uiPriority w:val="99"/>
    <w:unhideWhenUsed/>
    <w:rsid w:val="00447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6DB"/>
  </w:style>
  <w:style w:type="paragraph" w:styleId="Footer">
    <w:name w:val="footer"/>
    <w:basedOn w:val="Normal"/>
    <w:link w:val="FooterChar"/>
    <w:uiPriority w:val="99"/>
    <w:unhideWhenUsed/>
    <w:rsid w:val="00447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6DB"/>
  </w:style>
  <w:style w:type="character" w:styleId="CommentReference">
    <w:name w:val="annotation reference"/>
    <w:basedOn w:val="DefaultParagraphFont"/>
    <w:uiPriority w:val="99"/>
    <w:semiHidden/>
    <w:unhideWhenUsed/>
    <w:rsid w:val="00B20F51"/>
    <w:rPr>
      <w:sz w:val="16"/>
      <w:szCs w:val="16"/>
    </w:rPr>
  </w:style>
  <w:style w:type="paragraph" w:styleId="CommentText">
    <w:name w:val="annotation text"/>
    <w:basedOn w:val="Normal"/>
    <w:link w:val="CommentTextChar"/>
    <w:uiPriority w:val="99"/>
    <w:unhideWhenUsed/>
    <w:rsid w:val="00B20F51"/>
    <w:pPr>
      <w:spacing w:line="240" w:lineRule="auto"/>
    </w:pPr>
    <w:rPr>
      <w:sz w:val="20"/>
      <w:szCs w:val="20"/>
    </w:rPr>
  </w:style>
  <w:style w:type="character" w:customStyle="1" w:styleId="CommentTextChar">
    <w:name w:val="Comment Text Char"/>
    <w:basedOn w:val="DefaultParagraphFont"/>
    <w:link w:val="CommentText"/>
    <w:uiPriority w:val="99"/>
    <w:rsid w:val="00B20F51"/>
    <w:rPr>
      <w:sz w:val="20"/>
      <w:szCs w:val="20"/>
    </w:rPr>
  </w:style>
  <w:style w:type="paragraph" w:styleId="CommentSubject">
    <w:name w:val="annotation subject"/>
    <w:basedOn w:val="CommentText"/>
    <w:next w:val="CommentText"/>
    <w:link w:val="CommentSubjectChar"/>
    <w:uiPriority w:val="99"/>
    <w:semiHidden/>
    <w:unhideWhenUsed/>
    <w:rsid w:val="00B20F51"/>
    <w:rPr>
      <w:b/>
      <w:bCs/>
    </w:rPr>
  </w:style>
  <w:style w:type="character" w:customStyle="1" w:styleId="CommentSubjectChar">
    <w:name w:val="Comment Subject Char"/>
    <w:basedOn w:val="CommentTextChar"/>
    <w:link w:val="CommentSubject"/>
    <w:uiPriority w:val="99"/>
    <w:semiHidden/>
    <w:rsid w:val="00B20F51"/>
    <w:rPr>
      <w:b/>
      <w:bCs/>
      <w:sz w:val="20"/>
      <w:szCs w:val="20"/>
    </w:rPr>
  </w:style>
  <w:style w:type="paragraph" w:styleId="Revision">
    <w:name w:val="Revision"/>
    <w:hidden/>
    <w:uiPriority w:val="99"/>
    <w:semiHidden/>
    <w:rsid w:val="00073A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gov.rs/en-us/calend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at.gov.rs/media/2332/general-revision-policy.docx"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documents/3859598/9530664/KS-GQ-18-012-EN-N.pdf" TargetMode="External"/><Relationship Id="rId1" Type="http://schemas.openxmlformats.org/officeDocument/2006/relationships/hyperlink" Target="https://www.cmfb.org/main-topics/revis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ACE15-189F-42D2-B5B2-AD4279AA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PALIBRK Marijana (ESTAT)</dc:creator>
  <cp:keywords/>
  <dc:description/>
  <cp:lastModifiedBy>Irena Dimic</cp:lastModifiedBy>
  <cp:revision>37</cp:revision>
  <cp:lastPrinted>2022-11-24T11:50:00Z</cp:lastPrinted>
  <dcterms:created xsi:type="dcterms:W3CDTF">2023-03-30T08:13:00Z</dcterms:created>
  <dcterms:modified xsi:type="dcterms:W3CDTF">2023-04-05T05:30:00Z</dcterms:modified>
</cp:coreProperties>
</file>