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E9" w:rsidRPr="00B419F6" w:rsidRDefault="00CA16E9" w:rsidP="00C72244">
      <w:pPr>
        <w:pStyle w:val="Title"/>
        <w:rPr>
          <w:rFonts w:eastAsiaTheme="minorHAnsi" w:cstheme="majorHAnsi"/>
          <w:lang w:val="sr-Cyrl-RS"/>
        </w:rPr>
      </w:pPr>
    </w:p>
    <w:p w:rsidR="00441D3C" w:rsidRPr="006C7B09" w:rsidRDefault="00441D3C" w:rsidP="00441D3C">
      <w:pPr>
        <w:rPr>
          <w:rFonts w:asciiTheme="majorHAnsi" w:hAnsiTheme="majorHAnsi" w:cstheme="majorHAnsi"/>
        </w:rPr>
      </w:pPr>
    </w:p>
    <w:p w:rsidR="00441D3C" w:rsidRPr="006C7B09" w:rsidRDefault="00441D3C" w:rsidP="00441D3C">
      <w:pPr>
        <w:rPr>
          <w:rFonts w:asciiTheme="majorHAnsi" w:hAnsiTheme="majorHAnsi" w:cstheme="majorHAnsi"/>
        </w:rPr>
      </w:pPr>
    </w:p>
    <w:p w:rsidR="00441D3C" w:rsidRPr="0010741C" w:rsidRDefault="00441D3C" w:rsidP="00441D3C">
      <w:pPr>
        <w:rPr>
          <w:rFonts w:asciiTheme="majorHAnsi" w:hAnsiTheme="majorHAnsi" w:cstheme="majorHAnsi"/>
          <w:lang w:val="sr-Latn-RS"/>
        </w:rPr>
      </w:pPr>
    </w:p>
    <w:p w:rsidR="00441D3C" w:rsidRPr="006C7B09" w:rsidRDefault="00441D3C" w:rsidP="00441D3C">
      <w:pPr>
        <w:rPr>
          <w:rFonts w:asciiTheme="majorHAnsi" w:hAnsiTheme="majorHAnsi" w:cstheme="majorHAnsi"/>
        </w:rPr>
      </w:pPr>
    </w:p>
    <w:p w:rsidR="00441D3C" w:rsidRPr="006C7B09" w:rsidRDefault="00441D3C" w:rsidP="00441D3C">
      <w:pPr>
        <w:rPr>
          <w:rFonts w:asciiTheme="majorHAnsi" w:hAnsiTheme="majorHAnsi" w:cstheme="majorHAnsi"/>
        </w:rPr>
      </w:pPr>
    </w:p>
    <w:p w:rsidR="00CA16E9" w:rsidRPr="006C7B09" w:rsidRDefault="00CA16E9" w:rsidP="00C72244">
      <w:pPr>
        <w:pStyle w:val="Title"/>
        <w:rPr>
          <w:rFonts w:eastAsiaTheme="minorHAnsi" w:cstheme="majorHAnsi"/>
        </w:rPr>
      </w:pPr>
    </w:p>
    <w:p w:rsidR="00CA16E9" w:rsidRPr="006C7B09" w:rsidRDefault="00CA16E9" w:rsidP="00C72244">
      <w:pPr>
        <w:pStyle w:val="Title"/>
        <w:rPr>
          <w:rFonts w:eastAsiaTheme="minorHAnsi" w:cstheme="majorHAnsi"/>
        </w:rPr>
      </w:pPr>
    </w:p>
    <w:p w:rsidR="00CA16E9" w:rsidRPr="006C7B09" w:rsidRDefault="00CA16E9" w:rsidP="00C72244">
      <w:pPr>
        <w:pStyle w:val="Title"/>
        <w:rPr>
          <w:rFonts w:eastAsiaTheme="minorHAnsi" w:cstheme="majorHAnsi"/>
        </w:rPr>
      </w:pPr>
    </w:p>
    <w:p w:rsidR="00341C68" w:rsidRPr="006C7B09" w:rsidRDefault="006F1BE2" w:rsidP="00286904">
      <w:pPr>
        <w:pStyle w:val="Title"/>
        <w:jc w:val="center"/>
        <w:rPr>
          <w:rFonts w:eastAsiaTheme="minorHAnsi" w:cstheme="majorHAnsi"/>
          <w:lang w:val="sr-Cyrl-RS"/>
        </w:rPr>
      </w:pPr>
      <w:r w:rsidRPr="006C7B09">
        <w:rPr>
          <w:rFonts w:eastAsiaTheme="minorHAnsi" w:cstheme="majorHAnsi"/>
          <w:lang w:val="sr-Cyrl-RS"/>
        </w:rPr>
        <w:t xml:space="preserve">Политика ревизије </w:t>
      </w:r>
    </w:p>
    <w:p w:rsidR="00341C68" w:rsidRPr="006C7B09" w:rsidRDefault="00341C68" w:rsidP="00286904">
      <w:pPr>
        <w:pStyle w:val="Title"/>
        <w:jc w:val="center"/>
        <w:rPr>
          <w:rFonts w:eastAsiaTheme="minorHAnsi" w:cstheme="majorHAnsi"/>
          <w:lang w:val="sr-Cyrl-RS"/>
        </w:rPr>
      </w:pPr>
      <w:r w:rsidRPr="006C7B09">
        <w:rPr>
          <w:rFonts w:eastAsiaTheme="minorHAnsi" w:cstheme="majorHAnsi"/>
          <w:lang w:val="sr-Cyrl-RS"/>
        </w:rPr>
        <w:t>националних рачуна</w:t>
      </w:r>
    </w:p>
    <w:p w:rsidR="00C72244" w:rsidRPr="006C7B09" w:rsidRDefault="006F1BE2" w:rsidP="00286904">
      <w:pPr>
        <w:pStyle w:val="Title"/>
        <w:jc w:val="center"/>
        <w:rPr>
          <w:rFonts w:eastAsiaTheme="minorHAnsi" w:cstheme="majorHAnsi"/>
        </w:rPr>
      </w:pPr>
      <w:r w:rsidRPr="006C7B09">
        <w:rPr>
          <w:rFonts w:eastAsiaTheme="minorHAnsi" w:cstheme="majorHAnsi"/>
          <w:lang w:val="sr-Cyrl-RS"/>
        </w:rPr>
        <w:t>Републичког завода за статистику</w:t>
      </w:r>
    </w:p>
    <w:p w:rsidR="008775ED" w:rsidRPr="006C7B09" w:rsidRDefault="008775ED" w:rsidP="004476DB">
      <w:pPr>
        <w:rPr>
          <w:rFonts w:asciiTheme="majorHAnsi" w:eastAsiaTheme="minorHAnsi" w:hAnsiTheme="majorHAnsi" w:cstheme="majorHAnsi"/>
        </w:rPr>
      </w:pPr>
    </w:p>
    <w:p w:rsidR="004476DB" w:rsidRPr="006C7B09" w:rsidRDefault="004476DB" w:rsidP="004476DB">
      <w:pPr>
        <w:rPr>
          <w:rFonts w:asciiTheme="majorHAnsi" w:eastAsiaTheme="minorHAnsi" w:hAnsiTheme="majorHAnsi" w:cstheme="majorHAnsi"/>
        </w:rPr>
      </w:pPr>
    </w:p>
    <w:p w:rsidR="004476DB" w:rsidRPr="006C7B09" w:rsidRDefault="004476DB" w:rsidP="004476DB">
      <w:pPr>
        <w:rPr>
          <w:rFonts w:asciiTheme="majorHAnsi" w:eastAsiaTheme="minorHAnsi" w:hAnsiTheme="majorHAnsi" w:cstheme="majorHAnsi"/>
        </w:rPr>
      </w:pPr>
    </w:p>
    <w:p w:rsidR="004476DB" w:rsidRPr="006C7B09" w:rsidRDefault="004476DB" w:rsidP="004476DB">
      <w:pPr>
        <w:rPr>
          <w:rFonts w:asciiTheme="majorHAnsi" w:eastAsiaTheme="minorHAnsi" w:hAnsiTheme="majorHAnsi" w:cstheme="majorHAnsi"/>
        </w:rPr>
      </w:pPr>
    </w:p>
    <w:p w:rsidR="004476DB" w:rsidRPr="006C7B09" w:rsidRDefault="004476DB" w:rsidP="004476DB">
      <w:pPr>
        <w:rPr>
          <w:rFonts w:asciiTheme="majorHAnsi" w:eastAsiaTheme="minorHAnsi" w:hAnsiTheme="majorHAnsi" w:cstheme="majorHAnsi"/>
        </w:rPr>
      </w:pPr>
    </w:p>
    <w:p w:rsidR="00B756D6" w:rsidRDefault="00B756D6">
      <w:pPr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br w:type="page"/>
      </w:r>
    </w:p>
    <w:p w:rsidR="00296770" w:rsidRDefault="00296770" w:rsidP="00E31115">
      <w:pPr>
        <w:pStyle w:val="TOCHeading"/>
        <w:numPr>
          <w:ilvl w:val="0"/>
          <w:numId w:val="0"/>
        </w:numPr>
        <w:ind w:left="432"/>
        <w:rPr>
          <w:rFonts w:asciiTheme="minorHAnsi" w:eastAsiaTheme="minorEastAsia" w:hAnsiTheme="minorHAnsi" w:cstheme="majorHAnsi"/>
          <w:b w:val="0"/>
          <w:bCs w:val="0"/>
          <w:smallCaps w:val="0"/>
          <w:color w:val="auto"/>
          <w:sz w:val="22"/>
          <w:szCs w:val="22"/>
        </w:rPr>
        <w:sectPr w:rsidR="00296770" w:rsidSect="00E43270">
          <w:footerReference w:type="even" r:id="rId8"/>
          <w:footerReference w:type="default" r:id="rId9"/>
          <w:footerReference w:type="first" r:id="rId10"/>
          <w:pgSz w:w="12240" w:h="15840" w:code="1"/>
          <w:pgMar w:top="1440" w:right="1440" w:bottom="1440" w:left="1440" w:header="706" w:footer="706" w:gutter="0"/>
          <w:cols w:space="708"/>
          <w:titlePg/>
          <w:docGrid w:linePitch="360"/>
        </w:sectPr>
      </w:pPr>
    </w:p>
    <w:p w:rsidR="00B756D6" w:rsidRDefault="00B756D6" w:rsidP="00AB29F7">
      <w:pPr>
        <w:pStyle w:val="TOCHeading"/>
        <w:numPr>
          <w:ilvl w:val="0"/>
          <w:numId w:val="0"/>
        </w:numPr>
        <w:spacing w:before="960"/>
        <w:ind w:left="432"/>
        <w:rPr>
          <w:rFonts w:asciiTheme="minorHAnsi" w:eastAsiaTheme="minorEastAsia" w:hAnsiTheme="minorHAnsi" w:cstheme="majorHAnsi"/>
          <w:b w:val="0"/>
          <w:bCs w:val="0"/>
          <w:smallCaps w:val="0"/>
          <w:color w:val="auto"/>
          <w:sz w:val="22"/>
          <w:szCs w:val="22"/>
        </w:rPr>
      </w:pPr>
    </w:p>
    <w:p w:rsidR="00B756D6" w:rsidRDefault="00B756D6" w:rsidP="00C86850">
      <w:pPr>
        <w:pStyle w:val="TOCHeading"/>
        <w:numPr>
          <w:ilvl w:val="0"/>
          <w:numId w:val="0"/>
        </w:numPr>
        <w:spacing w:before="2520" w:line="240" w:lineRule="auto"/>
        <w:ind w:left="432"/>
        <w:rPr>
          <w:rFonts w:asciiTheme="minorHAnsi" w:eastAsiaTheme="minorEastAsia" w:hAnsiTheme="minorHAnsi" w:cstheme="majorHAnsi"/>
          <w:b w:val="0"/>
          <w:bCs w:val="0"/>
          <w:smallCaps w:val="0"/>
          <w:color w:val="auto"/>
          <w:sz w:val="22"/>
          <w:szCs w:val="22"/>
        </w:rPr>
      </w:pPr>
    </w:p>
    <w:sdt>
      <w:sdtPr>
        <w:rPr>
          <w:rFonts w:asciiTheme="minorHAnsi" w:eastAsiaTheme="minorEastAsia" w:hAnsiTheme="minorHAnsi" w:cstheme="majorHAnsi"/>
          <w:b w:val="0"/>
          <w:bCs w:val="0"/>
          <w:smallCaps w:val="0"/>
          <w:color w:val="auto"/>
          <w:sz w:val="22"/>
          <w:szCs w:val="22"/>
        </w:rPr>
        <w:id w:val="40665036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775ED" w:rsidRPr="006C7B09" w:rsidRDefault="006F1BE2" w:rsidP="00E31115">
          <w:pPr>
            <w:pStyle w:val="TOCHeading"/>
            <w:numPr>
              <w:ilvl w:val="0"/>
              <w:numId w:val="0"/>
            </w:numPr>
            <w:ind w:left="432"/>
            <w:rPr>
              <w:rFonts w:cstheme="majorHAnsi"/>
              <w:sz w:val="28"/>
              <w:szCs w:val="28"/>
            </w:rPr>
          </w:pPr>
          <w:r w:rsidRPr="006C7B09">
            <w:rPr>
              <w:rFonts w:cstheme="majorHAnsi"/>
              <w:sz w:val="28"/>
              <w:szCs w:val="28"/>
            </w:rPr>
            <w:t>Садржај</w:t>
          </w:r>
        </w:p>
        <w:p w:rsidR="007441D6" w:rsidRPr="006C7B09" w:rsidRDefault="008775ED">
          <w:pPr>
            <w:pStyle w:val="TOC1"/>
            <w:tabs>
              <w:tab w:val="left" w:pos="440"/>
              <w:tab w:val="right" w:leader="dot" w:pos="9350"/>
            </w:tabs>
            <w:rPr>
              <w:rFonts w:asciiTheme="majorHAnsi" w:hAnsiTheme="majorHAnsi" w:cstheme="majorHAnsi"/>
              <w:noProof/>
              <w:lang w:val="sr-Latn-RS" w:eastAsia="sr-Latn-RS"/>
            </w:rPr>
          </w:pPr>
          <w:r w:rsidRPr="006C7B09">
            <w:rPr>
              <w:rFonts w:asciiTheme="majorHAnsi" w:hAnsiTheme="majorHAnsi" w:cstheme="majorHAnsi"/>
            </w:rPr>
            <w:fldChar w:fldCharType="begin"/>
          </w:r>
          <w:r w:rsidRPr="006C7B09">
            <w:rPr>
              <w:rFonts w:asciiTheme="majorHAnsi" w:hAnsiTheme="majorHAnsi" w:cstheme="majorHAnsi"/>
            </w:rPr>
            <w:instrText xml:space="preserve"> TOC \o "1-3" \h \z \u </w:instrText>
          </w:r>
          <w:r w:rsidRPr="006C7B09">
            <w:rPr>
              <w:rFonts w:asciiTheme="majorHAnsi" w:hAnsiTheme="majorHAnsi" w:cstheme="majorHAnsi"/>
            </w:rPr>
            <w:fldChar w:fldCharType="separate"/>
          </w:r>
          <w:hyperlink w:anchor="_Toc52283273" w:history="1">
            <w:r w:rsidR="007441D6" w:rsidRPr="006C7B09">
              <w:rPr>
                <w:rStyle w:val="Hyperlink"/>
                <w:rFonts w:asciiTheme="majorHAnsi" w:eastAsiaTheme="minorHAnsi" w:hAnsiTheme="majorHAnsi" w:cstheme="majorHAnsi"/>
                <w:noProof/>
              </w:rPr>
              <w:t>1</w:t>
            </w:r>
            <w:r w:rsidR="007441D6" w:rsidRPr="006C7B09">
              <w:rPr>
                <w:rFonts w:asciiTheme="majorHAnsi" w:hAnsiTheme="majorHAnsi" w:cstheme="majorHAnsi"/>
                <w:noProof/>
                <w:lang w:val="sr-Latn-RS" w:eastAsia="sr-Latn-RS"/>
              </w:rPr>
              <w:tab/>
            </w:r>
            <w:r w:rsidR="007441D6" w:rsidRPr="006C7B09">
              <w:rPr>
                <w:rStyle w:val="Hyperlink"/>
                <w:rFonts w:asciiTheme="majorHAnsi" w:eastAsiaTheme="minorHAnsi" w:hAnsiTheme="majorHAnsi" w:cstheme="majorHAnsi"/>
                <w:noProof/>
              </w:rPr>
              <w:t>Увод</w:t>
            </w:r>
            <w:bookmarkStart w:id="0" w:name="_GoBack"/>
            <w:bookmarkEnd w:id="0"/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instrText xml:space="preserve"> PAGEREF _Toc52283273 \h </w:instrTex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E43270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7441D6" w:rsidRPr="006C7B09" w:rsidRDefault="001B59D6">
          <w:pPr>
            <w:pStyle w:val="TOC1"/>
            <w:tabs>
              <w:tab w:val="left" w:pos="440"/>
              <w:tab w:val="right" w:leader="dot" w:pos="9350"/>
            </w:tabs>
            <w:rPr>
              <w:rFonts w:asciiTheme="majorHAnsi" w:hAnsiTheme="majorHAnsi" w:cstheme="majorHAnsi"/>
              <w:noProof/>
              <w:lang w:val="sr-Latn-RS" w:eastAsia="sr-Latn-RS"/>
            </w:rPr>
          </w:pPr>
          <w:hyperlink w:anchor="_Toc52283274" w:history="1">
            <w:r w:rsidR="007441D6" w:rsidRPr="006C7B09">
              <w:rPr>
                <w:rStyle w:val="Hyperlink"/>
                <w:rFonts w:asciiTheme="majorHAnsi" w:eastAsiaTheme="minorHAnsi" w:hAnsiTheme="majorHAnsi" w:cstheme="majorHAnsi"/>
                <w:noProof/>
              </w:rPr>
              <w:t>2</w:t>
            </w:r>
            <w:r w:rsidR="007441D6" w:rsidRPr="006C7B09">
              <w:rPr>
                <w:rFonts w:asciiTheme="majorHAnsi" w:hAnsiTheme="majorHAnsi" w:cstheme="majorHAnsi"/>
                <w:noProof/>
                <w:lang w:val="sr-Latn-RS" w:eastAsia="sr-Latn-RS"/>
              </w:rPr>
              <w:tab/>
            </w:r>
            <w:r w:rsidR="007441D6" w:rsidRPr="006C7B09">
              <w:rPr>
                <w:rStyle w:val="Hyperlink"/>
                <w:rFonts w:asciiTheme="majorHAnsi" w:eastAsiaTheme="minorHAnsi" w:hAnsiTheme="majorHAnsi" w:cstheme="majorHAnsi"/>
                <w:noProof/>
                <w:lang w:val="sr-Cyrl-RS"/>
              </w:rPr>
              <w:t>Календар објављивања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instrText xml:space="preserve"> PAGEREF _Toc52283274 \h </w:instrTex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E43270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7441D6" w:rsidRPr="006C7B09" w:rsidRDefault="001B59D6">
          <w:pPr>
            <w:pStyle w:val="TOC1"/>
            <w:tabs>
              <w:tab w:val="left" w:pos="440"/>
              <w:tab w:val="right" w:leader="dot" w:pos="9350"/>
            </w:tabs>
            <w:rPr>
              <w:rFonts w:asciiTheme="majorHAnsi" w:hAnsiTheme="majorHAnsi" w:cstheme="majorHAnsi"/>
              <w:noProof/>
              <w:lang w:val="sr-Latn-RS" w:eastAsia="sr-Latn-RS"/>
            </w:rPr>
          </w:pPr>
          <w:hyperlink w:anchor="_Toc52283275" w:history="1">
            <w:r w:rsidR="007441D6" w:rsidRPr="006C7B09">
              <w:rPr>
                <w:rStyle w:val="Hyperlink"/>
                <w:rFonts w:asciiTheme="majorHAnsi" w:eastAsiaTheme="minorHAnsi" w:hAnsiTheme="majorHAnsi" w:cstheme="majorHAnsi"/>
                <w:noProof/>
              </w:rPr>
              <w:t>3</w:t>
            </w:r>
            <w:r w:rsidR="007441D6" w:rsidRPr="006C7B09">
              <w:rPr>
                <w:rFonts w:asciiTheme="majorHAnsi" w:hAnsiTheme="majorHAnsi" w:cstheme="majorHAnsi"/>
                <w:noProof/>
                <w:lang w:val="sr-Latn-RS" w:eastAsia="sr-Latn-RS"/>
              </w:rPr>
              <w:tab/>
            </w:r>
            <w:r w:rsidR="007441D6" w:rsidRPr="006C7B09">
              <w:rPr>
                <w:rStyle w:val="Hyperlink"/>
                <w:rFonts w:asciiTheme="majorHAnsi" w:eastAsiaTheme="minorHAnsi" w:hAnsiTheme="majorHAnsi" w:cstheme="majorHAnsi"/>
                <w:noProof/>
                <w:lang w:val="sr-Cyrl-RS"/>
              </w:rPr>
              <w:t>Текуће ревизије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instrText xml:space="preserve"> PAGEREF _Toc52283275 \h </w:instrTex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E43270"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7441D6" w:rsidRPr="006C7B09" w:rsidRDefault="001B59D6">
          <w:pPr>
            <w:pStyle w:val="TOC1"/>
            <w:tabs>
              <w:tab w:val="left" w:pos="440"/>
              <w:tab w:val="right" w:leader="dot" w:pos="9350"/>
            </w:tabs>
            <w:rPr>
              <w:rFonts w:asciiTheme="majorHAnsi" w:hAnsiTheme="majorHAnsi" w:cstheme="majorHAnsi"/>
              <w:noProof/>
              <w:lang w:val="sr-Latn-RS" w:eastAsia="sr-Latn-RS"/>
            </w:rPr>
          </w:pPr>
          <w:hyperlink w:anchor="_Toc52283276" w:history="1">
            <w:r w:rsidR="007441D6" w:rsidRPr="006C7B09">
              <w:rPr>
                <w:rStyle w:val="Hyperlink"/>
                <w:rFonts w:asciiTheme="majorHAnsi" w:hAnsiTheme="majorHAnsi" w:cstheme="majorHAnsi"/>
                <w:noProof/>
              </w:rPr>
              <w:t>4</w:t>
            </w:r>
            <w:r w:rsidR="007441D6" w:rsidRPr="006C7B09">
              <w:rPr>
                <w:rFonts w:asciiTheme="majorHAnsi" w:hAnsiTheme="majorHAnsi" w:cstheme="majorHAnsi"/>
                <w:noProof/>
                <w:lang w:val="sr-Latn-RS" w:eastAsia="sr-Latn-RS"/>
              </w:rPr>
              <w:tab/>
            </w:r>
            <w:r w:rsidR="007441D6" w:rsidRPr="006C7B09">
              <w:rPr>
                <w:rStyle w:val="Hyperlink"/>
                <w:rFonts w:asciiTheme="majorHAnsi" w:hAnsiTheme="majorHAnsi" w:cstheme="majorHAnsi"/>
                <w:noProof/>
                <w:lang w:val="sr-Cyrl-RS"/>
              </w:rPr>
              <w:t xml:space="preserve">Велике </w:t>
            </w:r>
            <w:r w:rsidR="007441D6" w:rsidRPr="006C7B09">
              <w:rPr>
                <w:rStyle w:val="Hyperlink"/>
                <w:rFonts w:asciiTheme="majorHAnsi" w:hAnsiTheme="majorHAnsi" w:cstheme="majorHAnsi"/>
                <w:noProof/>
                <w:lang w:val="sr-Latn-RS"/>
              </w:rPr>
              <w:t>(</w:t>
            </w:r>
            <w:r w:rsidR="007441D6" w:rsidRPr="006C7B09">
              <w:rPr>
                <w:rStyle w:val="Hyperlink"/>
                <w:rFonts w:asciiTheme="majorHAnsi" w:hAnsiTheme="majorHAnsi" w:cstheme="majorHAnsi"/>
                <w:noProof/>
                <w:lang w:val="sr-Cyrl-RS"/>
              </w:rPr>
              <w:t>бенчмарк) ревизије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instrText xml:space="preserve"> PAGEREF _Toc52283276 \h </w:instrTex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E43270">
              <w:rPr>
                <w:rFonts w:asciiTheme="majorHAnsi" w:hAnsiTheme="majorHAnsi" w:cstheme="majorHAnsi"/>
                <w:noProof/>
                <w:webHidden/>
              </w:rPr>
              <w:t>8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7441D6" w:rsidRPr="006C7B09" w:rsidRDefault="001B59D6">
          <w:pPr>
            <w:pStyle w:val="TOC1"/>
            <w:tabs>
              <w:tab w:val="left" w:pos="440"/>
              <w:tab w:val="right" w:leader="dot" w:pos="9350"/>
            </w:tabs>
            <w:rPr>
              <w:rFonts w:asciiTheme="majorHAnsi" w:hAnsiTheme="majorHAnsi" w:cstheme="majorHAnsi"/>
              <w:noProof/>
              <w:lang w:val="sr-Latn-RS" w:eastAsia="sr-Latn-RS"/>
            </w:rPr>
          </w:pPr>
          <w:hyperlink w:anchor="_Toc52283277" w:history="1">
            <w:r w:rsidR="007441D6" w:rsidRPr="006C7B09">
              <w:rPr>
                <w:rStyle w:val="Hyperlink"/>
                <w:rFonts w:asciiTheme="majorHAnsi" w:hAnsiTheme="majorHAnsi" w:cstheme="majorHAnsi"/>
                <w:noProof/>
              </w:rPr>
              <w:t>5</w:t>
            </w:r>
            <w:r w:rsidR="007441D6" w:rsidRPr="006C7B09">
              <w:rPr>
                <w:rFonts w:asciiTheme="majorHAnsi" w:hAnsiTheme="majorHAnsi" w:cstheme="majorHAnsi"/>
                <w:noProof/>
                <w:lang w:val="sr-Latn-RS" w:eastAsia="sr-Latn-RS"/>
              </w:rPr>
              <w:tab/>
            </w:r>
            <w:r w:rsidR="007441D6" w:rsidRPr="006C7B09">
              <w:rPr>
                <w:rStyle w:val="Hyperlink"/>
                <w:rFonts w:asciiTheme="majorHAnsi" w:hAnsiTheme="majorHAnsi" w:cstheme="majorHAnsi"/>
                <w:noProof/>
                <w:lang w:val="sr-Cyrl-RS"/>
              </w:rPr>
              <w:t>Ванредне ревизије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instrText xml:space="preserve"> PAGEREF _Toc52283277 \h </w:instrTex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E43270">
              <w:rPr>
                <w:rFonts w:asciiTheme="majorHAnsi" w:hAnsiTheme="majorHAnsi" w:cstheme="majorHAnsi"/>
                <w:noProof/>
                <w:webHidden/>
              </w:rPr>
              <w:t>9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8775ED" w:rsidRPr="006C7B09" w:rsidRDefault="008775ED" w:rsidP="004476DB">
          <w:pPr>
            <w:rPr>
              <w:rFonts w:asciiTheme="majorHAnsi" w:hAnsiTheme="majorHAnsi" w:cstheme="majorHAnsi"/>
            </w:rPr>
          </w:pPr>
          <w:r w:rsidRPr="006C7B09">
            <w:rPr>
              <w:rFonts w:asciiTheme="majorHAnsi" w:hAnsiTheme="majorHAnsi" w:cstheme="majorHAnsi"/>
              <w:b/>
              <w:bCs/>
              <w:noProof/>
            </w:rPr>
            <w:fldChar w:fldCharType="end"/>
          </w:r>
        </w:p>
      </w:sdtContent>
    </w:sdt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4476DB" w:rsidRPr="006C7B09" w:rsidRDefault="004476DB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CA16E9" w:rsidRPr="006C7B09" w:rsidRDefault="00CA16E9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3E6EF1" w:rsidP="008775ED">
      <w:pPr>
        <w:pStyle w:val="Heading1"/>
        <w:rPr>
          <w:rFonts w:eastAsiaTheme="minorHAnsi" w:cstheme="majorHAnsi"/>
        </w:rPr>
      </w:pPr>
      <w:bookmarkStart w:id="1" w:name="_Toc52283273"/>
      <w:r w:rsidRPr="006C7B09">
        <w:rPr>
          <w:rFonts w:eastAsiaTheme="minorHAnsi" w:cstheme="majorHAnsi"/>
        </w:rPr>
        <w:lastRenderedPageBreak/>
        <w:t>Увод</w:t>
      </w:r>
      <w:bookmarkEnd w:id="1"/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18"/>
          <w:szCs w:val="18"/>
        </w:rPr>
      </w:pPr>
    </w:p>
    <w:p w:rsidR="006F1BE2" w:rsidRPr="006C7B09" w:rsidRDefault="000C6838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Сврха овог </w:t>
      </w:r>
      <w:r w:rsidR="00A12A1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документ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="00A12A1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је</w:t>
      </w:r>
      <w:r w:rsidR="00D479B8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сте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A12A1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да </w:t>
      </w:r>
      <w:r w:rsidR="00D479B8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прикаже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основне 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принципе и стандарде </w:t>
      </w:r>
      <w:r w:rsidR="00D479B8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за спровођење 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</w:t>
      </w:r>
      <w:r w:rsidR="00D479B8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зија 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објављених података националних рачуна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који се заснивају на 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Европском систему националних и регионалних рачуна</w:t>
      </w:r>
      <w:r w:rsidR="00A12A1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(</w:t>
      </w:r>
      <w:r w:rsidR="00E2507B" w:rsidRPr="006C7B09">
        <w:rPr>
          <w:rFonts w:asciiTheme="majorHAnsi" w:eastAsiaTheme="minorHAnsi" w:hAnsiTheme="majorHAnsi" w:cstheme="majorHAnsi"/>
          <w:i/>
          <w:sz w:val="20"/>
          <w:szCs w:val="20"/>
        </w:rPr>
        <w:t>European System of National and Regional Accounts</w:t>
      </w:r>
      <w:r w:rsidR="001F6B50" w:rsidRPr="006C7B09">
        <w:rPr>
          <w:rFonts w:asciiTheme="majorHAnsi" w:eastAsiaTheme="minorHAnsi" w:hAnsiTheme="majorHAnsi" w:cstheme="majorHAnsi"/>
          <w:i/>
          <w:sz w:val="20"/>
          <w:szCs w:val="20"/>
          <w:lang w:val="sr-Cyrl-RS"/>
        </w:rPr>
        <w:t xml:space="preserve"> -</w:t>
      </w:r>
      <w:r w:rsidR="00E2507B" w:rsidRPr="006C7B09">
        <w:rPr>
          <w:rFonts w:asciiTheme="majorHAnsi" w:hAnsiTheme="majorHAnsi" w:cstheme="majorHAnsi"/>
        </w:rPr>
        <w:t xml:space="preserve"> </w:t>
      </w:r>
      <w:r w:rsidRPr="006C7B09">
        <w:rPr>
          <w:rFonts w:asciiTheme="majorHAnsi" w:eastAsiaTheme="minorHAnsi" w:hAnsiTheme="majorHAnsi" w:cstheme="majorHAnsi"/>
          <w:i/>
          <w:sz w:val="20"/>
          <w:szCs w:val="20"/>
          <w:lang w:val="sr-Cyrl-RS"/>
        </w:rPr>
        <w:t>ESA 2010</w:t>
      </w:r>
      <w:r w:rsidR="00A12A1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). Политика ревизије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Републичког завода за статистику (РЗС) </w:t>
      </w:r>
      <w:r w:rsidR="00D479B8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у потпуности је усклађена 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са националним календаром објављивања и са водећим принципима </w:t>
      </w:r>
      <w:r w:rsidR="00AE5681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Хармонизоване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европске </w:t>
      </w:r>
      <w:r w:rsidR="00AE5681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политике 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ревиз</w:t>
      </w:r>
      <w:r w:rsidR="00AE5681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иј</w:t>
      </w:r>
      <w:r w:rsidR="00E11755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="006F1BE2" w:rsidRPr="006C7B09">
        <w:rPr>
          <w:rStyle w:val="FootnoteReference"/>
          <w:rFonts w:asciiTheme="majorHAnsi" w:eastAsiaTheme="minorHAnsi" w:hAnsiTheme="majorHAnsi" w:cstheme="majorHAnsi"/>
          <w:sz w:val="20"/>
          <w:szCs w:val="20"/>
          <w:lang w:val="sr-Cyrl-RS"/>
        </w:rPr>
        <w:footnoteReference w:id="1"/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и препорукама Е</w:t>
      </w:r>
      <w:r w:rsidR="005A4E8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в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ростата о реви</w:t>
      </w:r>
      <w:r w:rsidR="005A4E8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="005A4E8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рању</w:t>
      </w:r>
      <w:r w:rsidR="0099402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података националних рачуна обрачунатих у складу са </w:t>
      </w:r>
      <w:r w:rsidR="005A4E82" w:rsidRPr="006C7B09">
        <w:rPr>
          <w:rFonts w:asciiTheme="majorHAnsi" w:eastAsiaTheme="minorHAnsi" w:hAnsiTheme="majorHAnsi" w:cstheme="majorHAnsi"/>
          <w:i/>
          <w:sz w:val="20"/>
          <w:szCs w:val="20"/>
          <w:lang w:val="sr-Cyrl-RS"/>
        </w:rPr>
        <w:t>ESA 2010</w:t>
      </w:r>
      <w:r w:rsidR="006F1BE2" w:rsidRPr="006C7B09">
        <w:rPr>
          <w:rStyle w:val="FootnoteReference"/>
          <w:rFonts w:asciiTheme="majorHAnsi" w:eastAsiaTheme="minorHAnsi" w:hAnsiTheme="majorHAnsi" w:cstheme="majorHAnsi"/>
          <w:sz w:val="20"/>
          <w:szCs w:val="20"/>
          <w:lang w:val="sr-Cyrl-RS"/>
        </w:rPr>
        <w:footnoteReference w:id="2"/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8775ED" w:rsidRPr="006C7B09" w:rsidRDefault="00A12A1B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Latn-RS"/>
        </w:rPr>
      </w:pPr>
      <w:r w:rsidRPr="00E43270">
        <w:rPr>
          <w:rFonts w:asciiTheme="majorHAnsi" w:hAnsiTheme="majorHAnsi" w:cstheme="majorHAnsi"/>
          <w:lang w:val="sr-Cyrl-RS"/>
        </w:rPr>
        <w:br/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Политика ревизиј</w:t>
      </w:r>
      <w:r w:rsidR="00E11755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E11755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утврђује општа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правила ревизиј</w:t>
      </w:r>
      <w:r w:rsidR="00E11755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објављених </w:t>
      </w:r>
      <w:r w:rsidR="00E11755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података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</w:t>
      </w:r>
      <w:r w:rsidR="00797A3F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начине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информиса</w:t>
      </w:r>
      <w:r w:rsidR="00280D12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ња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корисник</w:t>
      </w:r>
      <w:r w:rsidR="00280D12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280D12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у вези са 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могућим узроцима ревизија, </w:t>
      </w:r>
      <w:r w:rsidR="00280D12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категоризацију 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ревизија и документациј</w:t>
      </w:r>
      <w:r w:rsidR="00280D12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у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која покрива све аспекте ревизиј</w:t>
      </w:r>
      <w:r w:rsidR="00280D12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8775ED" w:rsidRPr="00E43270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6A49FD" w:rsidRPr="006C7B09" w:rsidRDefault="006A49F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Систем националних рачуна представља макроекономски систем података који </w:t>
      </w:r>
      <w:r w:rsidR="00A55EF5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пружају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увид у укупну економију. </w:t>
      </w:r>
      <w:r w:rsidR="00A55EF5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Национални р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ачуни заузимају централну позицију у статистичком систему и важна су основа за управљање економском политиком и </w:t>
      </w:r>
      <w:r w:rsidR="00A55EF5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доношење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одлу</w:t>
      </w:r>
      <w:r w:rsidR="00A55EF5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 јер омогућавају мерење нивоа економског развоја, стопе економског раста, промена у производњи, потрошњи, штедњ</w:t>
      </w:r>
      <w:r w:rsidR="0044073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и, </w:t>
      </w:r>
      <w:r w:rsidR="00A55EF5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инвестицијама</w:t>
      </w:r>
      <w:r w:rsidR="0044073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у основна средства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 извоз</w:t>
      </w:r>
      <w:r w:rsidR="00B95A3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и увоз</w:t>
      </w:r>
      <w:r w:rsidR="00B95A3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. </w:t>
      </w:r>
    </w:p>
    <w:p w:rsidR="001524C8" w:rsidRPr="006C7B09" w:rsidRDefault="001524C8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1524C8" w:rsidRPr="006C7B09" w:rsidRDefault="001524C8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Дефинисањем политике ревизија РЗС прати визију интегрисаног статистичког система, у којем су публиковање и ревизије података координирани и синхронизовани, а транспарентност за кориснике обезбеђена јасним презентовањем политике ревизија и статистичке праксе.</w:t>
      </w:r>
    </w:p>
    <w:p w:rsidR="008775ED" w:rsidRPr="00E43270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8775ED" w:rsidRPr="006C7B09" w:rsidRDefault="00733A3C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Политика ревизије 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националних рачуна обухвата све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објављен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квар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талне и годишње серије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Latn-RS"/>
        </w:rPr>
        <w:t xml:space="preserve"> 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података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у оквиру националних рачуна. 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То подразумева 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све серије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података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из 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следећи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х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статистички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х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области:</w:t>
      </w:r>
    </w:p>
    <w:p w:rsidR="008775ED" w:rsidRPr="006C7B09" w:rsidRDefault="008775ED" w:rsidP="00691FAE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p w:rsidR="003F511A" w:rsidRPr="006C7B09" w:rsidRDefault="00D2248B" w:rsidP="008775E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основни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агрегати националних рачуна, годиш</w:t>
      </w:r>
      <w:r w:rsidR="007248F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њ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 и квартални подаци;</w:t>
      </w:r>
    </w:p>
    <w:p w:rsidR="003F511A" w:rsidRPr="006C7B09" w:rsidRDefault="003F511A" w:rsidP="008775E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нефинансијск</w:t>
      </w:r>
      <w:r w:rsidR="00B95A3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сектор</w:t>
      </w:r>
      <w:r w:rsidR="00B95A3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ски рачуни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 годишњи подаци;</w:t>
      </w:r>
    </w:p>
    <w:p w:rsidR="003F511A" w:rsidRPr="006C7B09" w:rsidRDefault="003F511A" w:rsidP="008775E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статистика државних финансија;</w:t>
      </w:r>
    </w:p>
    <w:p w:rsidR="003F511A" w:rsidRPr="006C7B09" w:rsidRDefault="003F511A" w:rsidP="008775E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табеле понуде и употребе и инпут-аутпут табеле</w:t>
      </w:r>
      <w:r w:rsidR="005235B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B419F6">
        <w:rPr>
          <w:rFonts w:ascii="Arial" w:eastAsiaTheme="minorHAnsi" w:hAnsi="Arial" w:cs="Arial"/>
          <w:sz w:val="20"/>
          <w:szCs w:val="20"/>
          <w:lang w:val="sr-Cyrl-RS"/>
        </w:rPr>
        <w:t>‒</w:t>
      </w:r>
      <w:r w:rsidR="005235B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441D3C" w:rsidRPr="006C7B09">
        <w:rPr>
          <w:rFonts w:asciiTheme="majorHAnsi" w:eastAsiaTheme="minorHAnsi" w:hAnsiTheme="majorHAnsi" w:cstheme="majorHAnsi"/>
          <w:i/>
          <w:sz w:val="20"/>
          <w:szCs w:val="20"/>
        </w:rPr>
        <w:t>SUT-IOT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;</w:t>
      </w:r>
    </w:p>
    <w:p w:rsidR="003F511A" w:rsidRPr="006C7B09" w:rsidRDefault="003F511A" w:rsidP="008775E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регионални рачуни</w:t>
      </w:r>
      <w:r w:rsidR="00691FA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3F511A" w:rsidRPr="006C7B09" w:rsidRDefault="003F511A" w:rsidP="00691FAE">
      <w:pPr>
        <w:spacing w:after="0" w:line="276" w:lineRule="auto"/>
        <w:ind w:left="720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p w:rsidR="00691FAE" w:rsidRPr="006C7B09" w:rsidRDefault="003F511A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Ревизија п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редставља сваку промену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вредности објављених статистичких података и 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треба је прихватити као </w:t>
      </w:r>
      <w:r w:rsidR="00691FA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устаљену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праксу која води </w:t>
      </w:r>
      <w:r w:rsidR="00691FA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повећању 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квалитета</w:t>
      </w:r>
      <w:r w:rsidR="00691FA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 поузданости</w:t>
      </w:r>
      <w:r w:rsidR="00691FA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статистичких података.</w:t>
      </w:r>
    </w:p>
    <w:p w:rsidR="00691FAE" w:rsidRPr="006C7B09" w:rsidRDefault="00691FAE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B13720" w:rsidRPr="006C7B09" w:rsidRDefault="00B419F6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>
        <w:rPr>
          <w:rFonts w:asciiTheme="majorHAnsi" w:eastAsiaTheme="minorHAnsi" w:hAnsiTheme="majorHAnsi" w:cstheme="majorHAnsi"/>
          <w:sz w:val="20"/>
          <w:szCs w:val="20"/>
          <w:lang w:val="sr-Cyrl-RS"/>
        </w:rPr>
        <w:t>Када се узму у обзир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узро</w:t>
      </w:r>
      <w:r>
        <w:rPr>
          <w:rFonts w:asciiTheme="majorHAnsi" w:eastAsiaTheme="minorHAnsi" w:hAnsiTheme="majorHAnsi" w:cstheme="majorHAnsi"/>
          <w:sz w:val="20"/>
          <w:szCs w:val="20"/>
          <w:lang w:val="sr-Cyrl-RS"/>
        </w:rPr>
        <w:t>ци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и </w:t>
      </w:r>
      <w:r w:rsidR="00797A3F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учесталост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спровођења</w:t>
      </w:r>
      <w:r w:rsidR="00691FA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ревизија, могу се дефинисати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:</w:t>
      </w:r>
    </w:p>
    <w:p w:rsidR="00B13720" w:rsidRPr="006C7B09" w:rsidRDefault="00B13720" w:rsidP="00691FAE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текуће ревизије</w:t>
      </w:r>
      <w:r w:rsidR="00B419F6">
        <w:rPr>
          <w:rFonts w:asciiTheme="majorHAnsi" w:hAnsiTheme="majorHAnsi" w:cstheme="majorHAnsi"/>
          <w:sz w:val="20"/>
          <w:szCs w:val="20"/>
          <w:lang w:val="sr-Cyrl-RS"/>
        </w:rPr>
        <w:t>,</w:t>
      </w:r>
    </w:p>
    <w:p w:rsidR="00B13720" w:rsidRPr="006C7B09" w:rsidRDefault="00B13720" w:rsidP="00691FAE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велике </w:t>
      </w:r>
      <w:r w:rsidR="00756E52" w:rsidRPr="006C7B09">
        <w:rPr>
          <w:rFonts w:asciiTheme="majorHAnsi" w:hAnsiTheme="majorHAnsi" w:cstheme="majorHAnsi"/>
          <w:sz w:val="20"/>
          <w:szCs w:val="20"/>
          <w:lang w:val="sr-Latn-RS"/>
        </w:rPr>
        <w:t>(</w:t>
      </w:r>
      <w:r w:rsidR="00756E5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бенчмарк)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ревизије</w:t>
      </w:r>
      <w:r w:rsidR="00B419F6">
        <w:rPr>
          <w:rFonts w:asciiTheme="majorHAnsi" w:hAnsiTheme="majorHAnsi" w:cstheme="majorHAnsi"/>
          <w:sz w:val="20"/>
          <w:szCs w:val="20"/>
          <w:lang w:val="sr-Cyrl-RS"/>
        </w:rPr>
        <w:t>,</w:t>
      </w:r>
      <w:r w:rsidR="00756E5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</w:t>
      </w:r>
    </w:p>
    <w:p w:rsidR="00B13720" w:rsidRPr="006C7B09" w:rsidRDefault="00B13720" w:rsidP="00691FAE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ванредне ревизије</w:t>
      </w:r>
      <w:r w:rsidR="00691FAE" w:rsidRPr="006C7B09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p w:rsidR="008775ED" w:rsidRPr="006C7B09" w:rsidRDefault="00B13720" w:rsidP="008775ED">
      <w:pPr>
        <w:pStyle w:val="Heading1"/>
        <w:rPr>
          <w:rFonts w:eastAsiaTheme="minorHAnsi" w:cstheme="majorHAnsi"/>
        </w:rPr>
      </w:pPr>
      <w:bookmarkStart w:id="2" w:name="_Toc52283274"/>
      <w:r w:rsidRPr="006C7B09">
        <w:rPr>
          <w:rFonts w:eastAsiaTheme="minorHAnsi" w:cstheme="majorHAnsi"/>
          <w:lang w:val="sr-Cyrl-RS"/>
        </w:rPr>
        <w:lastRenderedPageBreak/>
        <w:t>Календар објављивања</w:t>
      </w:r>
      <w:bookmarkEnd w:id="2"/>
    </w:p>
    <w:p w:rsidR="008775ED" w:rsidRPr="006C7B09" w:rsidRDefault="002E6153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Календар</w:t>
      </w:r>
      <w:r w:rsidR="004E36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објављивања доступан </w:t>
      </w:r>
      <w:r w:rsidR="00173F8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је </w:t>
      </w:r>
      <w:r w:rsidR="004E36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на </w:t>
      </w:r>
      <w:r w:rsidR="00B64AB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интернет страници </w:t>
      </w:r>
      <w:r w:rsidR="004E36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</w:t>
      </w:r>
      <w:r w:rsidR="00B64AB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ЗС-а месец</w:t>
      </w:r>
      <w:r w:rsidR="004E36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дана пре почетка године.</w:t>
      </w:r>
    </w:p>
    <w:p w:rsidR="00B20F51" w:rsidRPr="006C7B09" w:rsidRDefault="00B20F51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4699"/>
        <w:gridCol w:w="2194"/>
      </w:tblGrid>
      <w:tr w:rsidR="008775ED" w:rsidRPr="006C7B09" w:rsidTr="00D21DC9">
        <w:trPr>
          <w:trHeight w:hRule="exact" w:val="432"/>
          <w:jc w:val="center"/>
        </w:trPr>
        <w:tc>
          <w:tcPr>
            <w:tcW w:w="9214" w:type="dxa"/>
            <w:gridSpan w:val="3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8775ED" w:rsidRPr="006C7B09" w:rsidRDefault="004E3602" w:rsidP="00F3220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Календар објављивања националних рачуна</w:t>
            </w:r>
            <w:r w:rsidR="008775ED" w:rsidRPr="006C7B0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8775ED" w:rsidRPr="006C7B09" w:rsidTr="00D21DC9">
        <w:trPr>
          <w:trHeight w:hRule="exact" w:val="432"/>
          <w:jc w:val="center"/>
        </w:trPr>
        <w:tc>
          <w:tcPr>
            <w:tcW w:w="2321" w:type="dxa"/>
            <w:tcBorders>
              <w:top w:val="single" w:sz="8" w:space="0" w:color="auto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8775ED" w:rsidRPr="006C7B09" w:rsidRDefault="004E3602" w:rsidP="0022774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 xml:space="preserve">Област </w:t>
            </w:r>
          </w:p>
        </w:tc>
        <w:tc>
          <w:tcPr>
            <w:tcW w:w="4699" w:type="dxa"/>
            <w:tcBorders>
              <w:top w:val="single" w:sz="8" w:space="0" w:color="auto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8775ED" w:rsidRPr="006C7B09" w:rsidRDefault="004E3602" w:rsidP="008775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Назив</w:t>
            </w:r>
          </w:p>
        </w:tc>
        <w:tc>
          <w:tcPr>
            <w:tcW w:w="2194" w:type="dxa"/>
            <w:tcBorders>
              <w:top w:val="single" w:sz="8" w:space="0" w:color="auto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8775ED" w:rsidRPr="006C7B09" w:rsidRDefault="004E3602" w:rsidP="00B64AB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Број публикациј</w:t>
            </w:r>
            <w:r w:rsidR="00B64ABA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а</w:t>
            </w:r>
          </w:p>
        </w:tc>
      </w:tr>
      <w:tr w:rsidR="008775ED" w:rsidRPr="006C7B09" w:rsidTr="00D21DC9">
        <w:trPr>
          <w:jc w:val="center"/>
        </w:trPr>
        <w:tc>
          <w:tcPr>
            <w:tcW w:w="2321" w:type="dxa"/>
            <w:vMerge w:val="restart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B64ABA" w:rsidP="00B64AB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Основни агрегати н</w:t>
            </w:r>
            <w:r w:rsidR="004E3602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ационални</w:t>
            </w: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 xml:space="preserve">х </w:t>
            </w:r>
            <w:r w:rsidR="004E3602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рачун</w:t>
            </w: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а</w:t>
            </w:r>
            <w:r w:rsidR="008775ED" w:rsidRPr="006C7B0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="004E3602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 xml:space="preserve">квартални подаци </w:t>
            </w: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4E3602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К</w:t>
            </w:r>
            <w:r w:rsidR="00AE321C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вартални бруто дома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ћи про</w:t>
            </w:r>
            <w:r w:rsidR="00B64ABA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и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звод Републике Србије </w:t>
            </w:r>
            <w:r w:rsidR="00AE321C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у сталним ценама – брза</w:t>
            </w:r>
            <w:r w:rsidR="00B64ABA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/флеш</w:t>
            </w:r>
            <w:r w:rsidR="00AE321C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процена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8775ED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B64ABA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</w:t>
            </w:r>
            <w:r w:rsidR="004E3602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квартал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у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7B264D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референтни квартал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+ </w:t>
            </w:r>
            <w:r w:rsidR="00BA40CE" w:rsidRPr="006C7B09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="004E3602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дана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775ED" w:rsidRPr="006C7B09" w:rsidTr="00D21DC9">
        <w:trPr>
          <w:jc w:val="center"/>
        </w:trPr>
        <w:tc>
          <w:tcPr>
            <w:tcW w:w="2321" w:type="dxa"/>
            <w:vMerge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8775ED" w:rsidP="008775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AE321C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Квартални бруто домаћи про</w:t>
            </w:r>
            <w:r w:rsidR="007248F0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и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звод Републике Србије 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8775ED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</w:t>
            </w:r>
            <w:r w:rsidR="002E6153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квартал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у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2E6153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референтни квартал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+ </w:t>
            </w:r>
            <w:r w:rsidR="00BA40CE" w:rsidRPr="006C7B09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E6153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дана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0A55B7" w:rsidRPr="006C7B09" w:rsidTr="00D21DC9">
        <w:trPr>
          <w:jc w:val="center"/>
        </w:trPr>
        <w:tc>
          <w:tcPr>
            <w:tcW w:w="2321" w:type="dxa"/>
            <w:vMerge w:val="restart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0A55B7" w:rsidRPr="006C7B09" w:rsidRDefault="002E6153" w:rsidP="001A4420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Основни агрегати н</w:t>
            </w:r>
            <w:r w:rsidR="00AE321C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ационални</w:t>
            </w: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х</w:t>
            </w:r>
            <w:r w:rsidR="00AE321C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 xml:space="preserve"> рачун</w:t>
            </w: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а</w:t>
            </w:r>
            <w:r w:rsidR="00AE321C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, годишњи подаци</w:t>
            </w: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0A55B7" w:rsidRPr="006C7B09" w:rsidRDefault="00AE321C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Бруто домаћи производ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сума четири квартала, </w:t>
            </w:r>
            <w:r w:rsidR="00D37EB2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процена</w:t>
            </w:r>
            <w:r w:rsidR="000A55B7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0A55B7" w:rsidRPr="006C7B09" w:rsidRDefault="000A55B7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</w:t>
            </w:r>
            <w:r w:rsidR="00AE321C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годи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ни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референтна година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+ 2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0A55B7" w:rsidRPr="006C7B09" w:rsidTr="00D21DC9">
        <w:trPr>
          <w:jc w:val="center"/>
        </w:trPr>
        <w:tc>
          <w:tcPr>
            <w:tcW w:w="2321" w:type="dxa"/>
            <w:vMerge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0A55B7" w:rsidRPr="006C7B09" w:rsidRDefault="000A55B7" w:rsidP="008775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0A55B7" w:rsidRPr="006C7B09" w:rsidRDefault="00AE321C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Бруто домаћи производ </w:t>
            </w:r>
            <w:r w:rsidR="000A55B7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–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годишњ</w:t>
            </w:r>
            <w:r w:rsidR="00D37EB2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и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</w:t>
            </w:r>
            <w:r w:rsidR="00D37EB2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обрачун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,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претходни подаци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0A55B7" w:rsidRPr="006C7B09" w:rsidRDefault="000A55B7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години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референтна година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+ 9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месеци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0A55B7" w:rsidRPr="006C7B09" w:rsidTr="00D21DC9">
        <w:trPr>
          <w:jc w:val="center"/>
        </w:trPr>
        <w:tc>
          <w:tcPr>
            <w:tcW w:w="2321" w:type="dxa"/>
            <w:vMerge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0A55B7" w:rsidRPr="006C7B09" w:rsidRDefault="000A55B7" w:rsidP="008775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0A55B7" w:rsidRPr="006C7B09" w:rsidRDefault="00AE321C" w:rsidP="005235B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Бруто домаћи пр</w:t>
            </w:r>
            <w:r w:rsidR="006469A4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о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извод </w:t>
            </w:r>
            <w:r w:rsidR="000A55B7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–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базиран на</w:t>
            </w:r>
            <w:r w:rsidR="000A55B7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41D3C" w:rsidRPr="006C7B09">
              <w:rPr>
                <w:rFonts w:asciiTheme="majorHAnsi" w:hAnsiTheme="majorHAnsi" w:cstheme="majorHAnsi"/>
                <w:i/>
                <w:sz w:val="20"/>
                <w:szCs w:val="20"/>
              </w:rPr>
              <w:t>SUT-IOT</w:t>
            </w:r>
            <w:r w:rsidR="000A55B7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4A6443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коначни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подаци 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0A55B7" w:rsidRPr="006C7B09" w:rsidRDefault="000A55B7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години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референтна година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="00F85776" w:rsidRPr="006C7B09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95740" w:rsidRPr="00E43270" w:rsidTr="00D21DC9">
        <w:trPr>
          <w:jc w:val="center"/>
        </w:trPr>
        <w:tc>
          <w:tcPr>
            <w:tcW w:w="2321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95740" w:rsidRPr="006C7B09" w:rsidRDefault="005044DE" w:rsidP="00895740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Нефинанси</w:t>
            </w:r>
            <w:r w:rsidR="00895740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ј</w:t>
            </w: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с</w:t>
            </w:r>
            <w:r w:rsidR="00895740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ки секторски рачуни</w:t>
            </w: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95740" w:rsidRPr="006C7B09" w:rsidRDefault="00895740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Годишњи нефинансијски секторски рачуни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95740" w:rsidRPr="00E43270" w:rsidRDefault="00895740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  <w:r w:rsidRPr="00E43270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1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години </w:t>
            </w:r>
            <w:r w:rsidRPr="00E43270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(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референтна година</w:t>
            </w:r>
            <w:r w:rsidRPr="00E43270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+ 11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</w:t>
            </w:r>
            <w:r w:rsidR="005044DE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и</w:t>
            </w:r>
            <w:r w:rsidRPr="00E43270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)</w:t>
            </w:r>
          </w:p>
        </w:tc>
      </w:tr>
      <w:tr w:rsidR="008775ED" w:rsidRPr="006C7B09" w:rsidTr="00D21DC9">
        <w:trPr>
          <w:jc w:val="center"/>
        </w:trPr>
        <w:tc>
          <w:tcPr>
            <w:tcW w:w="2321" w:type="dxa"/>
            <w:vMerge w:val="restart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AE321C" w:rsidP="008775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Регионални рачуни</w:t>
            </w: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AE321C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Регионални </w:t>
            </w:r>
            <w:r w:rsidR="008775ED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БДП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8775ED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по години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референтна година</w:t>
            </w:r>
            <w:r w:rsidR="007A72A1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+ 11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месеци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775ED" w:rsidRPr="006C7B09" w:rsidTr="00D21DC9">
        <w:trPr>
          <w:jc w:val="center"/>
        </w:trPr>
        <w:tc>
          <w:tcPr>
            <w:tcW w:w="2321" w:type="dxa"/>
            <w:vMerge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8775ED" w:rsidP="008775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AE321C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Регионал</w:t>
            </w:r>
            <w:r w:rsidR="006469A4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н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и БДП</w:t>
            </w:r>
            <w:r w:rsidR="008775ED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341C68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НСТЈ3,</w:t>
            </w:r>
            <w:r w:rsidR="00341C68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1C68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по делатностима (А10)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8775ED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6469A4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години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референтна година </w:t>
            </w:r>
            <w:r w:rsidR="007A72A1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+ 15 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месеци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775ED" w:rsidRPr="00E43270" w:rsidTr="00D21DC9">
        <w:trPr>
          <w:trHeight w:val="1025"/>
          <w:jc w:val="center"/>
        </w:trPr>
        <w:tc>
          <w:tcPr>
            <w:tcW w:w="2321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2E1140" w:rsidP="002E1140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Табеле понуде и употребе и инпут-аутпут табеле</w:t>
            </w: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6469A4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Т</w:t>
            </w:r>
            <w:r w:rsidR="00A419B4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абеле понуде и употребе и инпут-аутпут табеле</w:t>
            </w:r>
            <w:r w:rsidR="00A419B4" w:rsidRPr="006C7B09" w:rsidDel="00A419B4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E43270" w:rsidRDefault="007A72A1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  <w:r w:rsidRPr="00E43270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1 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по години</w:t>
            </w:r>
            <w:r w:rsidRPr="00E43270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(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референтна година </w:t>
            </w:r>
            <w:r w:rsidRPr="00E43270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+ 21 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</w:t>
            </w:r>
            <w:r w:rsidRPr="00E43270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)</w:t>
            </w:r>
          </w:p>
        </w:tc>
      </w:tr>
      <w:tr w:rsidR="008775ED" w:rsidRPr="00E43270" w:rsidTr="00D21DC9">
        <w:trPr>
          <w:jc w:val="center"/>
        </w:trPr>
        <w:tc>
          <w:tcPr>
            <w:tcW w:w="2321" w:type="dxa"/>
            <w:tcBorders>
              <w:top w:val="single" w:sz="8" w:space="0" w:color="A8D08D" w:themeColor="accent6" w:themeTint="99"/>
              <w:bottom w:val="single" w:sz="8" w:space="0" w:color="auto"/>
            </w:tcBorders>
            <w:vAlign w:val="center"/>
          </w:tcPr>
          <w:p w:rsidR="008775ED" w:rsidRPr="006C7B09" w:rsidRDefault="00A419B4" w:rsidP="008775ED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Статистика државних финансија</w:t>
            </w: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uto"/>
            </w:tcBorders>
            <w:vAlign w:val="center"/>
          </w:tcPr>
          <w:p w:rsidR="008775ED" w:rsidRPr="006C7B09" w:rsidRDefault="00A419B4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Порески приходи 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и социјални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допринос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uto"/>
            </w:tcBorders>
            <w:vAlign w:val="center"/>
          </w:tcPr>
          <w:p w:rsidR="008775ED" w:rsidRPr="006C7B09" w:rsidRDefault="007901EE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1 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години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(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референтна година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+ 9 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месеци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)</w:t>
            </w:r>
          </w:p>
        </w:tc>
      </w:tr>
    </w:tbl>
    <w:p w:rsidR="00A419B4" w:rsidRPr="006C7B09" w:rsidRDefault="00A419B4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A419B4" w:rsidRPr="006C7B09" w:rsidRDefault="00A419B4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Брза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/флеш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процена бруто домаћег производа објављује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30 дана 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 истеку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референтног квартала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у форми стопе 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реалн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ог 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раста 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кварталног 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бруто домаћег производа 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(процентуална промена према истом кварталу претходне године)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. </w:t>
      </w:r>
      <w:r w:rsidR="00A8028F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Резултати детаљних кварталних обрачуна извршених према производном и расходном приступу објављују се 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60 дана </w:t>
      </w:r>
      <w:r w:rsidR="00A8028F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 истеку 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референтног квартала. </w:t>
      </w:r>
      <w:r w:rsidR="00A8028F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Подаци се публикују на нивоу А10 Класификације делатности и главних агрегата употребе БДП-а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547FA6" w:rsidRPr="006C7B09" w:rsidRDefault="005A5613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lastRenderedPageBreak/>
        <w:t xml:space="preserve">Годишњи бруто домаћи производ 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објављ</w:t>
      </w:r>
      <w:r w:rsidR="00547FA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ује се три пута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:</w:t>
      </w:r>
    </w:p>
    <w:p w:rsidR="00547FA6" w:rsidRPr="006C7B09" w:rsidRDefault="009A3837" w:rsidP="00547FA6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процена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>, добијена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као сума четири кварталне вредности БДП-а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B419F6">
        <w:rPr>
          <w:rFonts w:ascii="Arial" w:hAnsi="Arial" w:cs="Arial"/>
          <w:sz w:val="20"/>
          <w:szCs w:val="20"/>
          <w:lang w:val="sr-Cyrl-RS"/>
        </w:rPr>
        <w:t>‒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крајем фебруара</w:t>
      </w:r>
      <w:r w:rsidR="00F35585" w:rsidRPr="006C7B09">
        <w:rPr>
          <w:rFonts w:asciiTheme="majorHAnsi" w:hAnsiTheme="majorHAnsi" w:cstheme="majorHAnsi"/>
          <w:sz w:val="20"/>
          <w:szCs w:val="20"/>
          <w:lang w:val="sr-Cyrl-RS"/>
        </w:rPr>
        <w:t>,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за претходну годину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;</w:t>
      </w:r>
    </w:p>
    <w:p w:rsidR="00547FA6" w:rsidRPr="006C7B09" w:rsidRDefault="00547FA6" w:rsidP="00547FA6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пре</w:t>
      </w:r>
      <w:r w:rsidR="001A3B88" w:rsidRPr="006C7B09">
        <w:rPr>
          <w:rFonts w:asciiTheme="majorHAnsi" w:hAnsiTheme="majorHAnsi" w:cstheme="majorHAnsi"/>
          <w:sz w:val="20"/>
          <w:szCs w:val="20"/>
          <w:lang w:val="sr-Cyrl-RS"/>
        </w:rPr>
        <w:t>тходни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подаци, као резултат годишњег обрачуна БДП-а </w:t>
      </w:r>
      <w:r w:rsidR="00B419F6">
        <w:rPr>
          <w:rFonts w:ascii="Arial" w:hAnsi="Arial" w:cs="Arial"/>
          <w:sz w:val="20"/>
          <w:szCs w:val="20"/>
          <w:lang w:val="sr-Cyrl-RS"/>
        </w:rPr>
        <w:t>‒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крајем септембра</w:t>
      </w:r>
      <w:r w:rsidR="00F35585" w:rsidRPr="006C7B09">
        <w:rPr>
          <w:rFonts w:asciiTheme="majorHAnsi" w:hAnsiTheme="majorHAnsi" w:cstheme="majorHAnsi"/>
          <w:sz w:val="20"/>
          <w:szCs w:val="20"/>
          <w:lang w:val="sr-Cyrl-RS"/>
        </w:rPr>
        <w:t>,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за претходну годину</w:t>
      </w:r>
      <w:r w:rsidR="00B419F6">
        <w:rPr>
          <w:rFonts w:asciiTheme="majorHAnsi" w:hAnsiTheme="majorHAnsi" w:cstheme="majorHAnsi"/>
          <w:sz w:val="20"/>
          <w:szCs w:val="20"/>
          <w:lang w:val="sr-Cyrl-RS"/>
        </w:rPr>
        <w:t>,</w:t>
      </w:r>
      <w:r w:rsidR="00514D67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</w:t>
      </w:r>
    </w:p>
    <w:p w:rsidR="00514D67" w:rsidRPr="006C7B09" w:rsidRDefault="004A6443" w:rsidP="004A6443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коначни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подаци, на основу резултата табела понуде и употребе и инпут-аутпут табела, </w:t>
      </w:r>
      <w:r w:rsidR="009A3837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годину дана 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>након пре</w:t>
      </w:r>
      <w:r w:rsidR="003B57C7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тходних 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>података</w:t>
      </w:r>
      <w:r w:rsidR="00514D67" w:rsidRPr="006C7B09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p w:rsidR="00641A8E" w:rsidRPr="006C7B09" w:rsidRDefault="00547FA6" w:rsidP="00514D67">
      <w:pPr>
        <w:pStyle w:val="ListParagraph"/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</w:p>
    <w:p w:rsidR="00721264" w:rsidRPr="0007619F" w:rsidRDefault="0097526E" w:rsidP="00641A8E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Потпуни сет г</w:t>
      </w:r>
      <w:r w:rsidR="00E731D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одишњи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х</w:t>
      </w:r>
      <w:r w:rsidR="00E731D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н</w:t>
      </w:r>
      <w:r w:rsidR="0072126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ефинансијски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х</w:t>
      </w:r>
      <w:r w:rsidR="0072126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секторски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х рачуна (за укупну економију, као и по институционалним секторима) објављује</w:t>
      </w:r>
      <w:r w:rsidR="0072126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 једном годишње</w:t>
      </w:r>
      <w:r w:rsidR="00E731D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11 месеци по истеку референтне године</w:t>
      </w:r>
      <w:r w:rsidR="00E731D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721264" w:rsidRPr="0007619F" w:rsidRDefault="00721264" w:rsidP="00641A8E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641A8E" w:rsidRPr="006C7B09" w:rsidRDefault="00641A8E" w:rsidP="00641A8E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Регионални рачуни </w:t>
      </w:r>
      <w:r w:rsidR="000D0051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објављују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FE797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се 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два пута годишње.</w:t>
      </w:r>
      <w:r w:rsidR="00FE797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Публикација која се објављује у новембру је у </w:t>
      </w:r>
      <w:r w:rsidR="00FE797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форми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саопштења </w:t>
      </w:r>
      <w:r w:rsidR="00B419F6">
        <w:rPr>
          <w:rFonts w:ascii="Arial" w:eastAsiaTheme="minorHAnsi" w:hAnsi="Arial" w:cs="Arial"/>
          <w:sz w:val="20"/>
          <w:szCs w:val="20"/>
          <w:lang w:val="sr-Cyrl-RS"/>
        </w:rPr>
        <w:t>‒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БДП по регионима, док се у марту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објављује радн</w:t>
      </w:r>
      <w:r w:rsidR="00FE7974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документ са детаљн</w:t>
      </w:r>
      <w:r w:rsidR="00FE7974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м </w:t>
      </w:r>
      <w:r w:rsidR="00FE7974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поделом на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категориј</w:t>
      </w:r>
      <w:r w:rsidR="00FE7974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FE7974" w:rsidRPr="006C7B09" w:rsidRDefault="00FE7974" w:rsidP="00641A8E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Latn-RS"/>
        </w:rPr>
      </w:pPr>
    </w:p>
    <w:p w:rsidR="00641A8E" w:rsidRPr="006C7B09" w:rsidRDefault="00641A8E" w:rsidP="00641A8E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Табеле понуде и употребе </w:t>
      </w:r>
      <w:r w:rsidR="00BA43B1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објављују се једном годишње</w:t>
      </w:r>
      <w:r w:rsidR="00B9514D">
        <w:rPr>
          <w:rFonts w:asciiTheme="majorHAnsi" w:eastAsiaTheme="minorHAnsi" w:hAnsiTheme="majorHAnsi" w:cstheme="majorHAnsi"/>
          <w:sz w:val="20"/>
          <w:szCs w:val="20"/>
          <w:lang w:val="sr-Latn-RS"/>
        </w:rPr>
        <w:t>,</w:t>
      </w:r>
      <w:r w:rsidR="00BA43B1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BA43B1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инпут-аутпут табеле</w:t>
      </w:r>
      <w:r w:rsidR="00BA43B1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сваке пете године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21 месец </w:t>
      </w:r>
      <w:r w:rsidR="005556C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 истеку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референтне године.</w:t>
      </w:r>
    </w:p>
    <w:p w:rsidR="00B47190" w:rsidRPr="00E43270" w:rsidRDefault="00B47190" w:rsidP="00641A8E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Latn-RS"/>
        </w:rPr>
      </w:pPr>
    </w:p>
    <w:p w:rsidR="00666F59" w:rsidRPr="006C7B09" w:rsidRDefault="00666F59" w:rsidP="00666F59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Порески приходи и социјални доприноси објављују се једном годишње, 9 месеци </w:t>
      </w:r>
      <w:r w:rsidR="00B4719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 истеку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референтне године.</w:t>
      </w:r>
    </w:p>
    <w:p w:rsidR="008775ED" w:rsidRPr="00E43270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Latn-RS"/>
        </w:rPr>
      </w:pPr>
    </w:p>
    <w:p w:rsidR="00341C68" w:rsidRPr="006C7B09" w:rsidRDefault="00341C68">
      <w:pPr>
        <w:rPr>
          <w:rFonts w:asciiTheme="majorHAnsi" w:eastAsiaTheme="minorHAnsi" w:hAnsiTheme="majorHAnsi" w:cstheme="majorHAnsi"/>
          <w:b/>
          <w:bCs/>
          <w:smallCaps/>
          <w:color w:val="000000" w:themeColor="text1"/>
          <w:sz w:val="36"/>
          <w:szCs w:val="36"/>
          <w:lang w:val="sr-Cyrl-RS"/>
        </w:rPr>
      </w:pPr>
      <w:r w:rsidRPr="006C7B09">
        <w:rPr>
          <w:rFonts w:asciiTheme="majorHAnsi" w:eastAsiaTheme="minorHAnsi" w:hAnsiTheme="majorHAnsi" w:cstheme="majorHAnsi"/>
          <w:lang w:val="sr-Cyrl-RS"/>
        </w:rPr>
        <w:br w:type="page"/>
      </w:r>
    </w:p>
    <w:p w:rsidR="008775ED" w:rsidRPr="006C7B09" w:rsidRDefault="00666F59" w:rsidP="008775ED">
      <w:pPr>
        <w:pStyle w:val="Heading1"/>
        <w:rPr>
          <w:rFonts w:eastAsiaTheme="minorHAnsi" w:cstheme="majorHAnsi"/>
        </w:rPr>
      </w:pPr>
      <w:bookmarkStart w:id="3" w:name="_Toc52283275"/>
      <w:r w:rsidRPr="006C7B09">
        <w:rPr>
          <w:rFonts w:eastAsiaTheme="minorHAnsi" w:cstheme="majorHAnsi"/>
          <w:lang w:val="sr-Cyrl-RS"/>
        </w:rPr>
        <w:lastRenderedPageBreak/>
        <w:t>Текуће ревизије</w:t>
      </w:r>
      <w:bookmarkEnd w:id="3"/>
    </w:p>
    <w:p w:rsidR="00666F59" w:rsidRPr="006C7B09" w:rsidRDefault="00666F59" w:rsidP="00666F59">
      <w:pPr>
        <w:jc w:val="both"/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Текуће ревизије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су,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због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свој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е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природ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е,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саставни део процеса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производње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статистичких података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(нпр.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п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роцењене вредности за податке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који су недостајали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мењ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а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ју се подацима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добијеним из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статистички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х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истраживањ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а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).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Оне се углавном спроводе због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континуиран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ог дотока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нових информација и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доступности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нових података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који се односе на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прошлост.</w:t>
      </w:r>
    </w:p>
    <w:p w:rsidR="001A3B88" w:rsidRPr="006C7B09" w:rsidRDefault="00666F59" w:rsidP="00666F59">
      <w:pPr>
        <w:jc w:val="both"/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Текуће ревизије с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у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планира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не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, најављују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се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и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редовно се обављају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према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назначеним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датумима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у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месечној, кварталној и годишњој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периодици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. </w:t>
      </w:r>
    </w:p>
    <w:p w:rsidR="00666F59" w:rsidRPr="006C7B09" w:rsidRDefault="007865BD" w:rsidP="00666F59">
      <w:pPr>
        <w:jc w:val="both"/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Ове ревизије су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превасходно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ор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јентисане на краткорочне статистике, које су чешће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изложене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променама због краћег временског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размака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између периода на који се подаци односе и датума њиховог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публиковања, али се могу спроводити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и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код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годиш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њ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и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х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статистика.</w:t>
      </w:r>
    </w:p>
    <w:p w:rsidR="004560A2" w:rsidRPr="006C7B09" w:rsidRDefault="00666F59" w:rsidP="00F32202">
      <w:pPr>
        <w:jc w:val="center"/>
        <w:rPr>
          <w:rFonts w:asciiTheme="majorHAnsi" w:hAnsiTheme="majorHAnsi" w:cstheme="majorHAnsi"/>
          <w:b/>
          <w:sz w:val="20"/>
          <w:szCs w:val="20"/>
          <w:lang w:val="sr-Cyrl-RS"/>
        </w:rPr>
      </w:pPr>
      <w:r w:rsidRPr="00E43270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br/>
      </w:r>
      <w:r w:rsidR="005565E9" w:rsidRPr="006C7B09">
        <w:rPr>
          <w:rFonts w:asciiTheme="majorHAnsi" w:eastAsiaTheme="minorHAnsi" w:hAnsiTheme="majorHAnsi" w:cstheme="majorHAnsi"/>
          <w:b/>
          <w:bCs/>
          <w:sz w:val="20"/>
          <w:szCs w:val="20"/>
          <w:lang w:val="sr-Cyrl-RS"/>
        </w:rPr>
        <w:t>Основни агрегати н</w:t>
      </w:r>
      <w:r w:rsidR="007865BD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ационални</w:t>
      </w:r>
      <w:r w:rsidR="005565E9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 xml:space="preserve">х </w:t>
      </w:r>
      <w:r w:rsidR="007865BD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рачун</w:t>
      </w:r>
      <w:r w:rsidR="005565E9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а</w:t>
      </w:r>
      <w:r w:rsidR="007865BD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 xml:space="preserve">, квартални подаци 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1430"/>
        <w:gridCol w:w="1868"/>
        <w:gridCol w:w="1864"/>
        <w:gridCol w:w="1872"/>
      </w:tblGrid>
      <w:tr w:rsidR="007865BD" w:rsidRPr="006C7B09" w:rsidTr="00D21DC9">
        <w:trPr>
          <w:trHeight w:val="416"/>
          <w:jc w:val="center"/>
        </w:trPr>
        <w:tc>
          <w:tcPr>
            <w:tcW w:w="2326" w:type="dxa"/>
            <w:tcBorders>
              <w:top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CD3DBB" w:rsidRPr="00E43270" w:rsidRDefault="00CD3DBB" w:rsidP="008775ED">
            <w:pPr>
              <w:spacing w:before="240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034" w:type="dxa"/>
            <w:gridSpan w:val="4"/>
            <w:tcBorders>
              <w:top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CD3DBB" w:rsidRPr="006C7B09" w:rsidRDefault="007865BD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Датум 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публиковања</w:t>
            </w:r>
          </w:p>
        </w:tc>
      </w:tr>
      <w:tr w:rsidR="00C1276B" w:rsidRPr="006C7B09" w:rsidTr="00D21DC9">
        <w:trPr>
          <w:trHeight w:val="387"/>
          <w:jc w:val="center"/>
        </w:trPr>
        <w:tc>
          <w:tcPr>
            <w:tcW w:w="2326" w:type="dxa"/>
            <w:tcBorders>
              <w:top w:val="nil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CD3DBB" w:rsidRPr="006C7B09" w:rsidRDefault="007865BD" w:rsidP="008A338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Година</w:t>
            </w:r>
            <w:r w:rsidR="00CD3DBB"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</w:t>
            </w:r>
          </w:p>
        </w:tc>
        <w:tc>
          <w:tcPr>
            <w:tcW w:w="1430" w:type="dxa"/>
            <w:tcBorders>
              <w:top w:val="nil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921B49" w:rsidRPr="006C7B09" w:rsidRDefault="00C26B86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28/29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ф</w:t>
            </w:r>
            <w:r w:rsidR="007865B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ебруар</w:t>
            </w:r>
          </w:p>
        </w:tc>
        <w:tc>
          <w:tcPr>
            <w:tcW w:w="1868" w:type="dxa"/>
            <w:tcBorders>
              <w:top w:val="nil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CD3DBB" w:rsidRPr="006C7B09" w:rsidRDefault="00C26B86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31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м</w:t>
            </w:r>
            <w:r w:rsidR="007865B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ај</w:t>
            </w:r>
          </w:p>
        </w:tc>
        <w:tc>
          <w:tcPr>
            <w:tcW w:w="1864" w:type="dxa"/>
            <w:tcBorders>
              <w:top w:val="nil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CD3DBB" w:rsidRPr="006C7B09" w:rsidRDefault="00C26B86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31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а</w:t>
            </w:r>
            <w:r w:rsidR="007865B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вгуст</w:t>
            </w:r>
          </w:p>
        </w:tc>
        <w:tc>
          <w:tcPr>
            <w:tcW w:w="1872" w:type="dxa"/>
            <w:tcBorders>
              <w:top w:val="nil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CD3DBB" w:rsidRPr="006C7B09" w:rsidRDefault="00C26B86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30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н</w:t>
            </w:r>
            <w:r w:rsidR="007865B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овембар</w:t>
            </w:r>
          </w:p>
        </w:tc>
      </w:tr>
      <w:tr w:rsidR="00CD3DBB" w:rsidRPr="006C7B09" w:rsidTr="00D21DC9">
        <w:trPr>
          <w:jc w:val="center"/>
        </w:trPr>
        <w:tc>
          <w:tcPr>
            <w:tcW w:w="9360" w:type="dxa"/>
            <w:gridSpan w:val="5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shd w:val="clear" w:color="auto" w:fill="C5E0B3" w:themeFill="accent6" w:themeFillTint="66"/>
            <w:vAlign w:val="center"/>
          </w:tcPr>
          <w:p w:rsidR="00CD3DBB" w:rsidRPr="006C7B09" w:rsidRDefault="00C1276B" w:rsidP="0069209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Оригинални</w:t>
            </w:r>
            <w:r w:rsidR="007865B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 подаци </w:t>
            </w:r>
          </w:p>
        </w:tc>
      </w:tr>
      <w:tr w:rsidR="00C1276B" w:rsidRPr="006C7B09" w:rsidTr="00D21DC9">
        <w:trPr>
          <w:trHeight w:val="584"/>
          <w:jc w:val="center"/>
        </w:trPr>
        <w:tc>
          <w:tcPr>
            <w:tcW w:w="2326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CD3DBB" w:rsidRPr="006C7B09" w:rsidRDefault="00C1276B" w:rsidP="001A442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Последњи </w:t>
            </w:r>
            <w:r w:rsidR="001A4420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квартал за који су доступни подаци</w:t>
            </w:r>
            <w:r w:rsidR="007865B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30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CD3DBB" w:rsidRPr="006C7B09" w:rsidRDefault="007865BD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Година </w:t>
            </w:r>
            <w:r w:rsidR="00CD3DBB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t-1, Q4</w:t>
            </w:r>
          </w:p>
        </w:tc>
        <w:tc>
          <w:tcPr>
            <w:tcW w:w="1868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CD3DBB" w:rsidRPr="006C7B09" w:rsidRDefault="007865BD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="00CD3DBB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t, Q1</w:t>
            </w:r>
          </w:p>
        </w:tc>
        <w:tc>
          <w:tcPr>
            <w:tcW w:w="186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CD3DBB" w:rsidRPr="006C7B09" w:rsidRDefault="007865BD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="00CD3DBB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t, Q2</w:t>
            </w:r>
          </w:p>
        </w:tc>
        <w:tc>
          <w:tcPr>
            <w:tcW w:w="1872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CD3DBB" w:rsidRPr="006C7B09" w:rsidRDefault="007865BD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Година </w:t>
            </w:r>
            <w:r w:rsidR="00CD3DBB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t, Q3</w:t>
            </w:r>
          </w:p>
        </w:tc>
      </w:tr>
      <w:tr w:rsidR="001A4420" w:rsidRPr="006C7B09" w:rsidTr="00D21DC9">
        <w:trPr>
          <w:trHeight w:val="494"/>
          <w:jc w:val="center"/>
        </w:trPr>
        <w:tc>
          <w:tcPr>
            <w:tcW w:w="2326" w:type="dxa"/>
            <w:vMerge w:val="restart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1A4420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Дужина ревидиране временске серије (максимална)</w:t>
            </w:r>
          </w:p>
        </w:tc>
        <w:tc>
          <w:tcPr>
            <w:tcW w:w="1430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3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квартала</w:t>
            </w:r>
          </w:p>
        </w:tc>
        <w:tc>
          <w:tcPr>
            <w:tcW w:w="1868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8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квартала</w:t>
            </w:r>
          </w:p>
        </w:tc>
        <w:tc>
          <w:tcPr>
            <w:tcW w:w="186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квартал</w:t>
            </w:r>
          </w:p>
        </w:tc>
        <w:tc>
          <w:tcPr>
            <w:tcW w:w="1872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10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квартала</w:t>
            </w:r>
          </w:p>
        </w:tc>
      </w:tr>
      <w:tr w:rsidR="001A4420" w:rsidRPr="006C7B09" w:rsidTr="00D21DC9">
        <w:trPr>
          <w:trHeight w:val="1007"/>
          <w:jc w:val="center"/>
        </w:trPr>
        <w:tc>
          <w:tcPr>
            <w:tcW w:w="2326" w:type="dxa"/>
            <w:vMerge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1A442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1276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t-1,</w:t>
            </w:r>
          </w:p>
          <w:p w:rsidR="001A4420" w:rsidRPr="006C7B09" w:rsidRDefault="001A4420" w:rsidP="001A44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>Q1-Q3</w:t>
            </w:r>
          </w:p>
        </w:tc>
        <w:tc>
          <w:tcPr>
            <w:tcW w:w="1868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година 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>t-1, Q1–Q4</w:t>
            </w:r>
          </w:p>
          <w:p w:rsidR="001A4420" w:rsidRPr="006C7B09" w:rsidRDefault="001A4420" w:rsidP="007248F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t-2, Q1–Q4</w:t>
            </w:r>
          </w:p>
        </w:tc>
        <w:tc>
          <w:tcPr>
            <w:tcW w:w="186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7248F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t, Q1</w:t>
            </w:r>
          </w:p>
        </w:tc>
        <w:tc>
          <w:tcPr>
            <w:tcW w:w="1872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t, Q1–Q2</w:t>
            </w:r>
          </w:p>
          <w:p w:rsidR="001A4420" w:rsidRPr="006C7B09" w:rsidRDefault="001A4420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година 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>t-1, Q1–Q4</w:t>
            </w:r>
          </w:p>
          <w:p w:rsidR="001A4420" w:rsidRPr="006C7B09" w:rsidRDefault="001A4420" w:rsidP="001E0B5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t-2, Q1–Q4</w:t>
            </w:r>
          </w:p>
        </w:tc>
      </w:tr>
      <w:tr w:rsidR="0069209E" w:rsidRPr="006C7B09" w:rsidTr="00D21DC9">
        <w:trPr>
          <w:trHeight w:val="242"/>
          <w:jc w:val="center"/>
        </w:trPr>
        <w:tc>
          <w:tcPr>
            <w:tcW w:w="9360" w:type="dxa"/>
            <w:gridSpan w:val="5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shd w:val="clear" w:color="auto" w:fill="C5E0B3" w:themeFill="accent6" w:themeFillTint="66"/>
            <w:vAlign w:val="center"/>
          </w:tcPr>
          <w:p w:rsidR="0069209E" w:rsidRPr="006C7B09" w:rsidRDefault="00612BCA" w:rsidP="001E0B5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Десезонирани подаци</w:t>
            </w:r>
          </w:p>
        </w:tc>
      </w:tr>
      <w:tr w:rsidR="007865BD" w:rsidRPr="006C7B09" w:rsidTr="00D21DC9">
        <w:trPr>
          <w:jc w:val="center"/>
        </w:trPr>
        <w:tc>
          <w:tcPr>
            <w:tcW w:w="2326" w:type="dxa"/>
            <w:tcBorders>
              <w:top w:val="single" w:sz="8" w:space="0" w:color="A8D08D" w:themeColor="accent6" w:themeTint="99"/>
              <w:bottom w:val="single" w:sz="8" w:space="0" w:color="000000" w:themeColor="text1"/>
            </w:tcBorders>
            <w:vAlign w:val="center"/>
          </w:tcPr>
          <w:p w:rsidR="0069209E" w:rsidRPr="006C7B09" w:rsidRDefault="001E0B5E" w:rsidP="0069209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Дужина ревидиране временске серије (максимална)</w:t>
            </w:r>
          </w:p>
        </w:tc>
        <w:tc>
          <w:tcPr>
            <w:tcW w:w="7034" w:type="dxa"/>
            <w:gridSpan w:val="4"/>
            <w:tcBorders>
              <w:top w:val="single" w:sz="8" w:space="0" w:color="A8D08D" w:themeColor="accent6" w:themeTint="99"/>
              <w:bottom w:val="single" w:sz="8" w:space="0" w:color="000000" w:themeColor="text1"/>
            </w:tcBorders>
            <w:vAlign w:val="center"/>
          </w:tcPr>
          <w:p w:rsidR="0069209E" w:rsidRPr="006C7B09" w:rsidRDefault="00612BCA" w:rsidP="00F322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Цела временска серија </w:t>
            </w:r>
          </w:p>
        </w:tc>
      </w:tr>
    </w:tbl>
    <w:p w:rsidR="004560A2" w:rsidRPr="006C7B09" w:rsidRDefault="004560A2" w:rsidP="00686F18">
      <w:pPr>
        <w:rPr>
          <w:rFonts w:asciiTheme="majorHAnsi" w:eastAsiaTheme="minorHAnsi" w:hAnsiTheme="majorHAnsi" w:cstheme="majorHAnsi"/>
          <w:b/>
          <w:bCs/>
          <w:sz w:val="20"/>
          <w:szCs w:val="20"/>
        </w:rPr>
      </w:pPr>
    </w:p>
    <w:p w:rsidR="00F32202" w:rsidRPr="006C7B09" w:rsidRDefault="00F32202" w:rsidP="00F32202">
      <w:pPr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Подаци за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прва три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квартал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текуће године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подложни су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зијама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до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момента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објављивања података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за четврти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квартал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текуће године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: заједно са подацима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за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друг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квартал објављују се ревидирани подаци за први квартал, заједно са подацима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за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трећ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квартал,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објављују се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ревидирани подаци за први и други квартал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заједно са подацима за четврт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 квартал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 објављ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ују се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ревидирани подаци за прв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 друг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и трећ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квартал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. Након објављивања података 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за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четврт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квартал, квартални 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подаци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 ревидирају само због усаглашавања са годишњи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м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подацима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F32202" w:rsidRPr="006C7B09" w:rsidRDefault="00F32202" w:rsidP="00F32202">
      <w:pPr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Прва ревизија кварталних података због усаглашавања са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годишњим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подацима </w:t>
      </w:r>
      <w:r w:rsidR="00A37A2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спроводи се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када постану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расположиви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годишњи подаци, добијени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као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сума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четири квартал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не вредности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; друга ревизија врши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се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када постану доступни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резултати годишњих обрачуна (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пре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тходни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пода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ци)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а трећа када се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објаве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ф</w:t>
      </w:r>
      <w:r w:rsidR="005C29B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инални годишњи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подаци. У овим случајевима ревидирају се 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квартални</w:t>
      </w:r>
      <w:r w:rsidR="00A37A2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подаци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текуће и претходне 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две г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одине. Изузетак су 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сезони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рани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даци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код којих се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ревидира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ју вредности целе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временске серије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76015D" w:rsidRPr="006C7B09" w:rsidRDefault="0076015D" w:rsidP="00286904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  <w:lang w:val="sr-Cyrl-RS"/>
        </w:rPr>
      </w:pPr>
    </w:p>
    <w:p w:rsidR="00341C68" w:rsidRPr="006C7B09" w:rsidRDefault="00341C68" w:rsidP="00286904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  <w:lang w:val="sr-Cyrl-RS"/>
        </w:rPr>
      </w:pPr>
    </w:p>
    <w:p w:rsidR="004560A2" w:rsidRPr="00E43270" w:rsidRDefault="001A4420" w:rsidP="00286904">
      <w:pPr>
        <w:spacing w:line="276" w:lineRule="auto"/>
        <w:jc w:val="center"/>
        <w:rPr>
          <w:rFonts w:asciiTheme="majorHAnsi" w:eastAsiaTheme="minorHAnsi" w:hAnsiTheme="majorHAnsi" w:cstheme="majorHAnsi"/>
          <w:b/>
          <w:bCs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lastRenderedPageBreak/>
        <w:t>Основни агрегати н</w:t>
      </w:r>
      <w:r w:rsidR="00612BCA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ационални</w:t>
      </w:r>
      <w:r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х</w:t>
      </w:r>
      <w:r w:rsidR="00612BCA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 xml:space="preserve"> рачун</w:t>
      </w:r>
      <w:r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а</w:t>
      </w:r>
      <w:r w:rsidR="00612BCA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, годишњи подаци</w:t>
      </w:r>
    </w:p>
    <w:tbl>
      <w:tblPr>
        <w:tblStyle w:val="TableGrid1"/>
        <w:tblW w:w="0" w:type="auto"/>
        <w:jc w:val="center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A8D08D" w:themeColor="accent6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1569"/>
        <w:gridCol w:w="1894"/>
      </w:tblGrid>
      <w:tr w:rsidR="004560A2" w:rsidRPr="006C7B09" w:rsidTr="00DA595F">
        <w:trPr>
          <w:trHeight w:val="416"/>
          <w:jc w:val="center"/>
        </w:trPr>
        <w:tc>
          <w:tcPr>
            <w:tcW w:w="2305" w:type="dxa"/>
            <w:shd w:val="clear" w:color="auto" w:fill="E2EFD9" w:themeFill="accent6" w:themeFillTint="33"/>
            <w:vAlign w:val="center"/>
          </w:tcPr>
          <w:p w:rsidR="004560A2" w:rsidRPr="00E43270" w:rsidRDefault="004560A2" w:rsidP="008A3384">
            <w:pPr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463" w:type="dxa"/>
            <w:gridSpan w:val="2"/>
            <w:shd w:val="clear" w:color="auto" w:fill="E2EFD9" w:themeFill="accent6" w:themeFillTint="33"/>
            <w:vAlign w:val="center"/>
          </w:tcPr>
          <w:p w:rsidR="004560A2" w:rsidRPr="006C7B09" w:rsidRDefault="00612BCA" w:rsidP="001A44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Датум </w:t>
            </w:r>
            <w:r w:rsidR="001A4420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публиковања</w:t>
            </w:r>
          </w:p>
        </w:tc>
      </w:tr>
      <w:tr w:rsidR="00C26B86" w:rsidRPr="006C7B09" w:rsidTr="00DA595F">
        <w:trPr>
          <w:trHeight w:val="378"/>
          <w:jc w:val="center"/>
        </w:trPr>
        <w:tc>
          <w:tcPr>
            <w:tcW w:w="2305" w:type="dxa"/>
            <w:shd w:val="clear" w:color="auto" w:fill="E2EFD9" w:themeFill="accent6" w:themeFillTint="33"/>
            <w:vAlign w:val="center"/>
          </w:tcPr>
          <w:p w:rsidR="00C26B86" w:rsidRPr="006C7B09" w:rsidRDefault="00612BCA" w:rsidP="008A338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Година</w:t>
            </w:r>
            <w:r w:rsidR="00C26B86"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</w:t>
            </w:r>
          </w:p>
        </w:tc>
        <w:tc>
          <w:tcPr>
            <w:tcW w:w="1569" w:type="dxa"/>
            <w:shd w:val="clear" w:color="auto" w:fill="E2EFD9" w:themeFill="accent6" w:themeFillTint="33"/>
            <w:vAlign w:val="center"/>
          </w:tcPr>
          <w:p w:rsidR="00C26B86" w:rsidRPr="006C7B09" w:rsidRDefault="00C26B86" w:rsidP="001A44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28/29</w:t>
            </w:r>
            <w:r w:rsidR="001A4420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1A4420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ф</w:t>
            </w:r>
            <w:r w:rsidR="00612BCA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ебруар</w:t>
            </w:r>
          </w:p>
        </w:tc>
        <w:tc>
          <w:tcPr>
            <w:tcW w:w="1894" w:type="dxa"/>
            <w:shd w:val="clear" w:color="auto" w:fill="E2EFD9" w:themeFill="accent6" w:themeFillTint="33"/>
            <w:vAlign w:val="center"/>
          </w:tcPr>
          <w:p w:rsidR="00C26B86" w:rsidRPr="006C7B09" w:rsidRDefault="00C26B86" w:rsidP="001A44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30</w:t>
            </w:r>
            <w:r w:rsidR="001A4420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 с</w:t>
            </w:r>
            <w:r w:rsidR="00612BCA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ептембар</w:t>
            </w:r>
          </w:p>
        </w:tc>
      </w:tr>
      <w:tr w:rsidR="00C26B86" w:rsidRPr="006C7B09" w:rsidTr="00DA595F">
        <w:trPr>
          <w:trHeight w:val="665"/>
          <w:jc w:val="center"/>
        </w:trPr>
        <w:tc>
          <w:tcPr>
            <w:tcW w:w="2305" w:type="dxa"/>
            <w:vAlign w:val="center"/>
          </w:tcPr>
          <w:p w:rsidR="00C26B86" w:rsidRPr="006C7B09" w:rsidRDefault="00612BCA" w:rsidP="0076015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Последњ</w:t>
            </w:r>
            <w:r w:rsidR="0076015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а година за коју су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доступни </w:t>
            </w:r>
            <w:r w:rsidR="0076015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одаци </w:t>
            </w:r>
          </w:p>
        </w:tc>
        <w:tc>
          <w:tcPr>
            <w:tcW w:w="1569" w:type="dxa"/>
            <w:vAlign w:val="center"/>
          </w:tcPr>
          <w:p w:rsidR="00C26B86" w:rsidRPr="006C7B09" w:rsidRDefault="0076015D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</w:t>
            </w:r>
            <w:r w:rsidR="00612BCA"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одина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t-1</w:t>
            </w:r>
          </w:p>
        </w:tc>
        <w:tc>
          <w:tcPr>
            <w:tcW w:w="1894" w:type="dxa"/>
            <w:vAlign w:val="center"/>
          </w:tcPr>
          <w:p w:rsidR="00C26B86" w:rsidRPr="006C7B09" w:rsidRDefault="0076015D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</w:t>
            </w:r>
            <w:r w:rsidR="00612BCA"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одина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t-1</w:t>
            </w:r>
          </w:p>
        </w:tc>
      </w:tr>
      <w:tr w:rsidR="00C26B86" w:rsidRPr="006C7B09" w:rsidTr="00DA595F">
        <w:trPr>
          <w:trHeight w:val="1160"/>
          <w:jc w:val="center"/>
        </w:trPr>
        <w:tc>
          <w:tcPr>
            <w:tcW w:w="2305" w:type="dxa"/>
            <w:vAlign w:val="center"/>
          </w:tcPr>
          <w:p w:rsidR="00C26B86" w:rsidRPr="006C7B09" w:rsidRDefault="0076015D" w:rsidP="00F32202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Дужина ревидиране временске серије (максимална)</w:t>
            </w:r>
          </w:p>
        </w:tc>
        <w:tc>
          <w:tcPr>
            <w:tcW w:w="1569" w:type="dxa"/>
            <w:vAlign w:val="center"/>
          </w:tcPr>
          <w:p w:rsidR="00C26B86" w:rsidRPr="006C7B09" w:rsidRDefault="00C26B86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894" w:type="dxa"/>
            <w:vAlign w:val="center"/>
          </w:tcPr>
          <w:p w:rsidR="00C26B86" w:rsidRPr="006C7B09" w:rsidRDefault="00C26B86" w:rsidP="00CD3DB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2 </w:t>
            </w:r>
            <w:r w:rsidR="00CD56C9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године</w:t>
            </w:r>
          </w:p>
          <w:p w:rsidR="007248F0" w:rsidRPr="006C7B09" w:rsidRDefault="007248F0" w:rsidP="00CD3DB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</w:p>
          <w:p w:rsidR="00C26B86" w:rsidRPr="006C7B09" w:rsidRDefault="00CD56C9" w:rsidP="004560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t-1</w:t>
            </w:r>
          </w:p>
          <w:p w:rsidR="00C26B86" w:rsidRPr="006C7B09" w:rsidRDefault="00CD56C9" w:rsidP="00CD56C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t-2</w:t>
            </w:r>
          </w:p>
        </w:tc>
      </w:tr>
    </w:tbl>
    <w:p w:rsidR="00CD56C9" w:rsidRPr="006C7B09" w:rsidRDefault="00CD56C9" w:rsidP="00612BCA">
      <w:pPr>
        <w:rPr>
          <w:rFonts w:asciiTheme="majorHAnsi" w:eastAsiaTheme="minorHAnsi" w:hAnsiTheme="majorHAnsi" w:cstheme="majorHAnsi"/>
          <w:sz w:val="20"/>
          <w:szCs w:val="20"/>
          <w:lang w:val="sr-Latn-RS"/>
        </w:rPr>
      </w:pPr>
    </w:p>
    <w:p w:rsidR="00612BCA" w:rsidRPr="006C7B09" w:rsidRDefault="00612BCA" w:rsidP="00715516">
      <w:pPr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Ревизиј</w:t>
      </w:r>
      <w:r w:rsidR="00CD56C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а података </w:t>
      </w:r>
      <w:r w:rsidR="00F322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годишњих националних рачун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а врш</w:t>
      </w:r>
      <w:r w:rsidR="00CD56C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 једном годишње</w:t>
      </w:r>
      <w:r w:rsidR="00CD56C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крајем септембра. У години </w:t>
      </w:r>
      <w:r w:rsidR="00CD56C9" w:rsidRPr="006C7B09">
        <w:rPr>
          <w:rFonts w:asciiTheme="majorHAnsi" w:hAnsiTheme="majorHAnsi" w:cstheme="majorHAnsi"/>
          <w:sz w:val="18"/>
          <w:szCs w:val="18"/>
          <w:lang w:val="sr-Cyrl-RS"/>
        </w:rPr>
        <w:t>t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</w:t>
      </w:r>
      <w:r w:rsidR="00CD56C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процена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годишњих </w:t>
      </w:r>
      <w:r w:rsidR="00CD56C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података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за </w:t>
      </w:r>
      <w:r w:rsidR="00F322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годину </w:t>
      </w:r>
      <w:r w:rsidR="00CD56C9" w:rsidRPr="006C7B09">
        <w:rPr>
          <w:rFonts w:asciiTheme="majorHAnsi" w:hAnsiTheme="majorHAnsi" w:cstheme="majorHAnsi"/>
          <w:sz w:val="18"/>
          <w:szCs w:val="18"/>
          <w:lang w:val="sr-Cyrl-RS"/>
        </w:rPr>
        <w:t>t</w:t>
      </w:r>
      <w:r w:rsidR="00F322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-1 (добијен</w:t>
      </w:r>
      <w:r w:rsidR="0071551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="00F322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као збир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четири квартала) ревидира се када постан</w:t>
      </w:r>
      <w:r w:rsidR="0071551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доступн</w:t>
      </w:r>
      <w:r w:rsidR="0071551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 претходни подаци, добијени као резултат годишњег обрачуна БДП-а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. Поред тога, </w:t>
      </w:r>
      <w:r w:rsidR="0071551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претходни подаци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за годину </w:t>
      </w:r>
      <w:r w:rsidR="00715516" w:rsidRPr="006C7B09">
        <w:rPr>
          <w:rFonts w:asciiTheme="majorHAnsi" w:hAnsiTheme="majorHAnsi" w:cstheme="majorHAnsi"/>
          <w:sz w:val="18"/>
          <w:szCs w:val="18"/>
          <w:lang w:val="sr-Cyrl-RS"/>
        </w:rPr>
        <w:t>t-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2 ревидира</w:t>
      </w:r>
      <w:r w:rsidR="0071551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ју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 на основу резултата </w:t>
      </w:r>
      <w:r w:rsidR="00F322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т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абела понуде и </w:t>
      </w:r>
      <w:r w:rsidR="0071551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употребе.</w:t>
      </w:r>
      <w:r w:rsidR="00F322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</w:p>
    <w:p w:rsidR="00D678AA" w:rsidRPr="00E43270" w:rsidRDefault="00D678AA" w:rsidP="008775ED">
      <w:pPr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3C2890" w:rsidRPr="006C7B09" w:rsidRDefault="00612BCA" w:rsidP="003C2890">
      <w:pPr>
        <w:jc w:val="center"/>
        <w:rPr>
          <w:rFonts w:asciiTheme="majorHAnsi" w:eastAsiaTheme="minorHAnsi" w:hAnsiTheme="majorHAnsi" w:cstheme="majorHAnsi"/>
          <w:b/>
          <w:bCs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b/>
          <w:bCs/>
          <w:sz w:val="20"/>
          <w:szCs w:val="20"/>
          <w:lang w:val="sr-Cyrl-RS"/>
        </w:rPr>
        <w:t xml:space="preserve">Регионални подаци </w:t>
      </w:r>
    </w:p>
    <w:tbl>
      <w:tblPr>
        <w:tblStyle w:val="TableGrid1"/>
        <w:tblW w:w="0" w:type="auto"/>
        <w:tblInd w:w="187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8D08D" w:themeColor="accent6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1429"/>
        <w:gridCol w:w="1870"/>
      </w:tblGrid>
      <w:tr w:rsidR="003C2890" w:rsidRPr="006C7B09" w:rsidTr="00DA595F">
        <w:trPr>
          <w:trHeight w:val="416"/>
        </w:trPr>
        <w:tc>
          <w:tcPr>
            <w:tcW w:w="2321" w:type="dxa"/>
            <w:shd w:val="clear" w:color="auto" w:fill="E2EFD9" w:themeFill="accent6" w:themeFillTint="33"/>
            <w:vAlign w:val="center"/>
          </w:tcPr>
          <w:p w:rsidR="003C2890" w:rsidRPr="006C7B09" w:rsidRDefault="003C2890" w:rsidP="008A338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299" w:type="dxa"/>
            <w:gridSpan w:val="2"/>
            <w:shd w:val="clear" w:color="auto" w:fill="E2EFD9" w:themeFill="accent6" w:themeFillTint="33"/>
            <w:vAlign w:val="center"/>
          </w:tcPr>
          <w:p w:rsidR="003C2890" w:rsidRPr="006C7B09" w:rsidRDefault="00612BCA" w:rsidP="00070A6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Датум </w:t>
            </w:r>
            <w:r w:rsidR="00070A63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публиковања</w:t>
            </w:r>
          </w:p>
        </w:tc>
      </w:tr>
      <w:tr w:rsidR="00FF7CA5" w:rsidRPr="006C7B09" w:rsidTr="00DA595F">
        <w:trPr>
          <w:trHeight w:val="416"/>
        </w:trPr>
        <w:tc>
          <w:tcPr>
            <w:tcW w:w="2321" w:type="dxa"/>
            <w:shd w:val="clear" w:color="auto" w:fill="E2EFD9" w:themeFill="accent6" w:themeFillTint="33"/>
            <w:vAlign w:val="center"/>
          </w:tcPr>
          <w:p w:rsidR="00FF7CA5" w:rsidRPr="006C7B09" w:rsidRDefault="00612BCA" w:rsidP="00FF7CA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Година </w:t>
            </w:r>
            <w:r w:rsidR="00FF7CA5"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</w:t>
            </w:r>
          </w:p>
          <w:p w:rsidR="00FF7CA5" w:rsidRPr="006C7B09" w:rsidRDefault="00FF7CA5" w:rsidP="00FF7CA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:rsidR="00FF7CA5" w:rsidRPr="006C7B09" w:rsidRDefault="00FF7CA5" w:rsidP="00070A6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31</w:t>
            </w:r>
            <w:r w:rsidR="00070A63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 м</w:t>
            </w:r>
            <w:r w:rsidR="00612BCA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арт</w:t>
            </w:r>
          </w:p>
        </w:tc>
        <w:tc>
          <w:tcPr>
            <w:tcW w:w="1870" w:type="dxa"/>
            <w:shd w:val="clear" w:color="auto" w:fill="E2EFD9" w:themeFill="accent6" w:themeFillTint="33"/>
            <w:vAlign w:val="center"/>
          </w:tcPr>
          <w:p w:rsidR="00FF7CA5" w:rsidRPr="006C7B09" w:rsidRDefault="00FF7CA5" w:rsidP="00070A6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30</w:t>
            </w:r>
            <w:r w:rsidR="00070A63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 н</w:t>
            </w:r>
            <w:r w:rsidR="00612BCA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овембар</w:t>
            </w:r>
          </w:p>
        </w:tc>
      </w:tr>
      <w:tr w:rsidR="00C26B86" w:rsidRPr="006C7B09" w:rsidTr="00DA595F">
        <w:trPr>
          <w:trHeight w:val="773"/>
        </w:trPr>
        <w:tc>
          <w:tcPr>
            <w:tcW w:w="2321" w:type="dxa"/>
            <w:vAlign w:val="center"/>
          </w:tcPr>
          <w:p w:rsidR="00C26B86" w:rsidRPr="006C7B09" w:rsidRDefault="00612BCA" w:rsidP="00070A6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Последњ</w:t>
            </w:r>
            <w:r w:rsidR="00070A63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а година за коју су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доступни </w:t>
            </w:r>
            <w:r w:rsidR="00070A63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одаци </w:t>
            </w:r>
          </w:p>
        </w:tc>
        <w:tc>
          <w:tcPr>
            <w:tcW w:w="1429" w:type="dxa"/>
            <w:vAlign w:val="center"/>
          </w:tcPr>
          <w:p w:rsidR="00C26B86" w:rsidRPr="006C7B09" w:rsidRDefault="00070A63" w:rsidP="00070A6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година 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>t-2</w:t>
            </w:r>
          </w:p>
        </w:tc>
        <w:tc>
          <w:tcPr>
            <w:tcW w:w="1870" w:type="dxa"/>
            <w:vAlign w:val="center"/>
          </w:tcPr>
          <w:p w:rsidR="00C26B86" w:rsidRPr="006C7B09" w:rsidRDefault="00070A63" w:rsidP="00070A6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година 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>t-1</w:t>
            </w:r>
          </w:p>
        </w:tc>
      </w:tr>
      <w:tr w:rsidR="00C26B86" w:rsidRPr="006C7B09" w:rsidTr="00DA595F">
        <w:trPr>
          <w:trHeight w:val="980"/>
        </w:trPr>
        <w:tc>
          <w:tcPr>
            <w:tcW w:w="2321" w:type="dxa"/>
            <w:vAlign w:val="center"/>
          </w:tcPr>
          <w:p w:rsidR="00C26B86" w:rsidRPr="006C7B09" w:rsidRDefault="00472073" w:rsidP="00D35D2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Дужина ревидиране временске серије (максимална)</w:t>
            </w:r>
          </w:p>
        </w:tc>
        <w:tc>
          <w:tcPr>
            <w:tcW w:w="1429" w:type="dxa"/>
            <w:vAlign w:val="center"/>
          </w:tcPr>
          <w:p w:rsidR="00C26B86" w:rsidRPr="006C7B09" w:rsidRDefault="00C26B86" w:rsidP="00B20D7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 </w:t>
            </w:r>
            <w:r w:rsidR="00612BCA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година</w:t>
            </w:r>
          </w:p>
          <w:p w:rsidR="007248F0" w:rsidRPr="006C7B09" w:rsidRDefault="007248F0" w:rsidP="00B20D7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C26B86" w:rsidRPr="006C7B09" w:rsidRDefault="00472073" w:rsidP="00700B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</w:t>
            </w:r>
            <w:r w:rsidR="00612BCA"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одина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t-3</w:t>
            </w:r>
          </w:p>
        </w:tc>
        <w:tc>
          <w:tcPr>
            <w:tcW w:w="1870" w:type="dxa"/>
            <w:vAlign w:val="center"/>
          </w:tcPr>
          <w:p w:rsidR="00C26B86" w:rsidRPr="006C7B09" w:rsidRDefault="00C26B86" w:rsidP="008D3F3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 </w:t>
            </w:r>
            <w:r w:rsidR="00612BCA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година</w:t>
            </w:r>
          </w:p>
          <w:p w:rsidR="007248F0" w:rsidRPr="006C7B09" w:rsidRDefault="007248F0" w:rsidP="008D3F3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C26B86" w:rsidRPr="006C7B09" w:rsidRDefault="00472073" w:rsidP="00700B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</w:t>
            </w:r>
            <w:r w:rsidR="00612BCA"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одина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t-2</w:t>
            </w:r>
          </w:p>
        </w:tc>
      </w:tr>
    </w:tbl>
    <w:p w:rsidR="003C2890" w:rsidRPr="0007619F" w:rsidRDefault="00F32202" w:rsidP="001B7D1B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</w:rPr>
        <w:br/>
      </w:r>
      <w:r w:rsidR="003B57C7" w:rsidRPr="006C7B09">
        <w:rPr>
          <w:rFonts w:asciiTheme="majorHAnsi" w:hAnsiTheme="majorHAnsi" w:cstheme="majorHAnsi"/>
          <w:sz w:val="20"/>
          <w:szCs w:val="20"/>
          <w:lang w:val="sr-Cyrl-RS"/>
        </w:rPr>
        <w:t>Претходни подаци о регионалном БДП-у за годину t-2 ревидирају се на основу резултата табела понуде и употребе и инпут-аутпут табела. У марту наредне године</w:t>
      </w:r>
      <w:r w:rsidR="00B419F6">
        <w:rPr>
          <w:rFonts w:asciiTheme="majorHAnsi" w:hAnsiTheme="majorHAnsi" w:cstheme="majorHAnsi"/>
          <w:sz w:val="20"/>
          <w:szCs w:val="20"/>
          <w:lang w:val="sr-Cyrl-RS"/>
        </w:rPr>
        <w:t>,</w:t>
      </w:r>
      <w:r w:rsidR="003B57C7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на основу претходно ревидираног БДП</w:t>
      </w:r>
      <w:r w:rsidR="00B419F6">
        <w:rPr>
          <w:rFonts w:asciiTheme="majorHAnsi" w:hAnsiTheme="majorHAnsi" w:cstheme="majorHAnsi"/>
          <w:sz w:val="20"/>
          <w:szCs w:val="20"/>
          <w:lang w:val="sr-Cyrl-RS"/>
        </w:rPr>
        <w:t>-а</w:t>
      </w:r>
      <w:r w:rsidR="003B57C7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на нивоу НСТЈ2</w:t>
      </w:r>
      <w:r w:rsidR="001109DA">
        <w:rPr>
          <w:rFonts w:asciiTheme="majorHAnsi" w:hAnsiTheme="majorHAnsi" w:cstheme="majorHAnsi"/>
          <w:sz w:val="20"/>
          <w:szCs w:val="20"/>
          <w:lang w:val="sr-Cyrl-RS"/>
        </w:rPr>
        <w:t>,</w:t>
      </w:r>
      <w:r w:rsidR="003B57C7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ревидирају се подаци о регионалном БДВ-у на нивоу НСТЈ3, по </w:t>
      </w:r>
      <w:r w:rsidR="003B57C7" w:rsidRPr="0007619F">
        <w:rPr>
          <w:rFonts w:asciiTheme="majorHAnsi" w:hAnsiTheme="majorHAnsi" w:cstheme="majorHAnsi"/>
          <w:sz w:val="20"/>
          <w:szCs w:val="20"/>
          <w:lang w:val="sr-Cyrl-RS"/>
        </w:rPr>
        <w:t>делатностима (А10) за годину t-3.</w:t>
      </w:r>
    </w:p>
    <w:p w:rsidR="00324484" w:rsidRPr="006C7B09" w:rsidRDefault="005E4DC0" w:rsidP="00324484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07619F">
        <w:rPr>
          <w:rFonts w:asciiTheme="majorHAnsi" w:eastAsiaTheme="minorHAnsi" w:hAnsiTheme="majorHAnsi" w:cstheme="majorHAnsi"/>
          <w:i/>
          <w:sz w:val="20"/>
          <w:szCs w:val="20"/>
        </w:rPr>
        <w:t>SUT</w:t>
      </w:r>
      <w:r w:rsidRPr="00E43270">
        <w:rPr>
          <w:rFonts w:asciiTheme="majorHAnsi" w:eastAsiaTheme="minorHAnsi" w:hAnsiTheme="majorHAnsi" w:cstheme="majorHAnsi"/>
          <w:i/>
          <w:sz w:val="20"/>
          <w:szCs w:val="20"/>
          <w:lang w:val="sr-Cyrl-RS"/>
        </w:rPr>
        <w:t>-</w:t>
      </w:r>
      <w:r w:rsidRPr="0007619F">
        <w:rPr>
          <w:rFonts w:asciiTheme="majorHAnsi" w:eastAsiaTheme="minorHAnsi" w:hAnsiTheme="majorHAnsi" w:cstheme="majorHAnsi"/>
          <w:i/>
          <w:sz w:val="20"/>
          <w:szCs w:val="20"/>
        </w:rPr>
        <w:t>IOT</w:t>
      </w:r>
      <w:r w:rsidRPr="0007619F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F32202" w:rsidRPr="0007619F">
        <w:rPr>
          <w:rFonts w:asciiTheme="majorHAnsi" w:hAnsiTheme="majorHAnsi" w:cstheme="majorHAnsi"/>
          <w:sz w:val="20"/>
          <w:szCs w:val="20"/>
          <w:lang w:val="sr-Cyrl-RS"/>
        </w:rPr>
        <w:t xml:space="preserve">за одређену годину </w:t>
      </w:r>
      <w:r w:rsidR="00324484" w:rsidRPr="0007619F">
        <w:rPr>
          <w:rFonts w:asciiTheme="majorHAnsi" w:hAnsiTheme="majorHAnsi" w:cstheme="majorHAnsi"/>
          <w:sz w:val="20"/>
          <w:szCs w:val="20"/>
          <w:lang w:val="sr-Cyrl-RS"/>
        </w:rPr>
        <w:t xml:space="preserve">публикују се </w:t>
      </w:r>
      <w:r w:rsidR="00F32202" w:rsidRPr="0007619F">
        <w:rPr>
          <w:rFonts w:asciiTheme="majorHAnsi" w:hAnsiTheme="majorHAnsi" w:cstheme="majorHAnsi"/>
          <w:sz w:val="20"/>
          <w:szCs w:val="20"/>
          <w:lang w:val="sr-Cyrl-RS"/>
        </w:rPr>
        <w:t xml:space="preserve">само једном и не </w:t>
      </w:r>
      <w:r w:rsidR="00324484" w:rsidRPr="0007619F">
        <w:rPr>
          <w:rFonts w:asciiTheme="majorHAnsi" w:hAnsiTheme="majorHAnsi" w:cstheme="majorHAnsi"/>
          <w:sz w:val="20"/>
          <w:szCs w:val="20"/>
          <w:lang w:val="sr-Cyrl-RS"/>
        </w:rPr>
        <w:t>ревидирају се</w:t>
      </w:r>
      <w:r w:rsidR="0010741C" w:rsidRPr="0007619F">
        <w:rPr>
          <w:rFonts w:asciiTheme="majorHAnsi" w:hAnsiTheme="majorHAnsi" w:cstheme="majorHAnsi"/>
          <w:sz w:val="20"/>
          <w:szCs w:val="20"/>
          <w:lang w:val="sr-Latn-RS"/>
        </w:rPr>
        <w:t xml:space="preserve"> (</w:t>
      </w:r>
      <w:r w:rsidR="0010741C" w:rsidRPr="0007619F">
        <w:rPr>
          <w:rFonts w:asciiTheme="majorHAnsi" w:hAnsiTheme="majorHAnsi" w:cstheme="majorHAnsi"/>
          <w:sz w:val="20"/>
          <w:szCs w:val="20"/>
          <w:lang w:val="sr-Cyrl-RS"/>
        </w:rPr>
        <w:t>осим у случају великих ревизија</w:t>
      </w:r>
      <w:r w:rsidR="0010741C" w:rsidRPr="0007619F">
        <w:rPr>
          <w:rStyle w:val="FootnoteReference"/>
          <w:rFonts w:asciiTheme="majorHAnsi" w:hAnsiTheme="majorHAnsi" w:cstheme="majorHAnsi"/>
          <w:sz w:val="20"/>
          <w:szCs w:val="20"/>
          <w:lang w:val="sr-Cyrl-RS"/>
        </w:rPr>
        <w:footnoteReference w:id="3"/>
      </w:r>
      <w:r w:rsidR="0010741C" w:rsidRPr="0007619F">
        <w:rPr>
          <w:rFonts w:asciiTheme="majorHAnsi" w:hAnsiTheme="majorHAnsi" w:cstheme="majorHAnsi"/>
          <w:sz w:val="20"/>
          <w:szCs w:val="20"/>
          <w:lang w:val="sr-Cyrl-RS"/>
        </w:rPr>
        <w:t>).</w:t>
      </w:r>
    </w:p>
    <w:p w:rsidR="00F32202" w:rsidRPr="006C7B09" w:rsidRDefault="00F32202" w:rsidP="00324484">
      <w:pPr>
        <w:jc w:val="both"/>
        <w:rPr>
          <w:rFonts w:asciiTheme="majorHAnsi" w:hAnsiTheme="majorHAnsi" w:cstheme="majorHAnsi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Ревизија статистике државних финансија </w:t>
      </w:r>
      <w:r w:rsidR="007D1365" w:rsidRPr="006C7B09">
        <w:rPr>
          <w:rFonts w:asciiTheme="majorHAnsi" w:hAnsiTheme="majorHAnsi" w:cstheme="majorHAnsi"/>
          <w:sz w:val="20"/>
          <w:szCs w:val="20"/>
          <w:lang w:val="sr-Cyrl-RS"/>
        </w:rPr>
        <w:t>у овом тренутку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7D1365" w:rsidRPr="006C7B09">
        <w:rPr>
          <w:rFonts w:asciiTheme="majorHAnsi" w:hAnsiTheme="majorHAnsi" w:cstheme="majorHAnsi"/>
          <w:sz w:val="20"/>
          <w:szCs w:val="20"/>
          <w:lang w:val="sr-Cyrl-RS"/>
        </w:rPr>
        <w:t>следи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праксу ревизиј</w:t>
      </w:r>
      <w:r w:rsidR="007D1365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7D1365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годишњих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националних рачуна.</w:t>
      </w:r>
    </w:p>
    <w:p w:rsidR="00341C68" w:rsidRPr="006C7B09" w:rsidRDefault="00341C68" w:rsidP="00F32202">
      <w:pPr>
        <w:rPr>
          <w:rFonts w:asciiTheme="majorHAnsi" w:eastAsiaTheme="minorHAnsi" w:hAnsiTheme="majorHAnsi" w:cstheme="majorHAnsi"/>
          <w:b/>
          <w:lang w:val="sr-Cyrl-RS"/>
        </w:rPr>
      </w:pPr>
    </w:p>
    <w:p w:rsidR="00341C68" w:rsidRPr="006C7B09" w:rsidRDefault="00341C68" w:rsidP="00F32202">
      <w:pPr>
        <w:rPr>
          <w:rFonts w:asciiTheme="majorHAnsi" w:eastAsiaTheme="minorHAnsi" w:hAnsiTheme="majorHAnsi" w:cstheme="majorHAnsi"/>
          <w:b/>
          <w:lang w:val="sr-Cyrl-RS"/>
        </w:rPr>
      </w:pPr>
    </w:p>
    <w:p w:rsidR="00341C68" w:rsidRPr="006C7B09" w:rsidRDefault="00341C68" w:rsidP="00F32202">
      <w:pPr>
        <w:rPr>
          <w:rFonts w:asciiTheme="majorHAnsi" w:eastAsiaTheme="minorHAnsi" w:hAnsiTheme="majorHAnsi" w:cstheme="majorHAnsi"/>
          <w:b/>
          <w:lang w:val="sr-Cyrl-RS"/>
        </w:rPr>
      </w:pPr>
    </w:p>
    <w:p w:rsidR="00551F58" w:rsidRPr="006C7B09" w:rsidRDefault="001E30C2" w:rsidP="00551F58">
      <w:pPr>
        <w:pStyle w:val="Heading1"/>
        <w:rPr>
          <w:rFonts w:cstheme="majorHAnsi"/>
        </w:rPr>
      </w:pPr>
      <w:bookmarkStart w:id="4" w:name="_Toc52283276"/>
      <w:r w:rsidRPr="006C7B09">
        <w:rPr>
          <w:rFonts w:cstheme="majorHAnsi"/>
          <w:lang w:val="sr-Cyrl-RS"/>
        </w:rPr>
        <w:lastRenderedPageBreak/>
        <w:t xml:space="preserve">Велике </w:t>
      </w:r>
      <w:r w:rsidR="00756E52" w:rsidRPr="006C7B09">
        <w:rPr>
          <w:rFonts w:cstheme="majorHAnsi"/>
          <w:lang w:val="sr-Latn-RS"/>
        </w:rPr>
        <w:t>(</w:t>
      </w:r>
      <w:r w:rsidR="00756E52" w:rsidRPr="006C7B09">
        <w:rPr>
          <w:rFonts w:cstheme="majorHAnsi"/>
          <w:lang w:val="sr-Cyrl-RS"/>
        </w:rPr>
        <w:t xml:space="preserve">бенчмарк) </w:t>
      </w:r>
      <w:r w:rsidRPr="006C7B09">
        <w:rPr>
          <w:rFonts w:cstheme="majorHAnsi"/>
          <w:lang w:val="sr-Cyrl-RS"/>
        </w:rPr>
        <w:t>ревизије</w:t>
      </w:r>
      <w:bookmarkEnd w:id="4"/>
      <w:r w:rsidR="008A2646" w:rsidRPr="006C7B09">
        <w:rPr>
          <w:rFonts w:cstheme="majorHAnsi"/>
          <w:lang w:val="sr-Latn-RS"/>
        </w:rPr>
        <w:t xml:space="preserve"> </w:t>
      </w:r>
    </w:p>
    <w:p w:rsidR="001E30C2" w:rsidRPr="006C7B09" w:rsidRDefault="001E30C2" w:rsidP="002E2F6A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</w:rPr>
        <w:br/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Велике ревизије </w:t>
      </w:r>
      <w:r w:rsidR="00545CDD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спроводе се у вишегодишњој периодици (обично између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пет</w:t>
      </w:r>
      <w:r w:rsidR="00545CDD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десет година</w:t>
      </w:r>
      <w:r w:rsidR="00545CDD" w:rsidRPr="006C7B09">
        <w:rPr>
          <w:rFonts w:asciiTheme="majorHAnsi" w:hAnsiTheme="majorHAnsi" w:cstheme="majorHAnsi"/>
          <w:sz w:val="20"/>
          <w:szCs w:val="20"/>
          <w:lang w:val="sr-Cyrl-RS"/>
        </w:rPr>
        <w:t>)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. </w:t>
      </w:r>
    </w:p>
    <w:p w:rsidR="001E30C2" w:rsidRPr="00E43270" w:rsidRDefault="00545CDD" w:rsidP="002E2F6A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Велике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ревизије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су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планиране и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веома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значајне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из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мене објављени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х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статистичких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пода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така,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које се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спроводе због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једног или више разлога:</w:t>
      </w:r>
      <w:r w:rsidR="0010583E" w:rsidRPr="00E43270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</w:p>
    <w:p w:rsidR="001E30C2" w:rsidRPr="006C7B09" w:rsidRDefault="003E6EF1" w:rsidP="00C020A1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расположивост нових података који се прикупљају у вишегодишњој периодици (5–10 година), као што су пописи (становништва, пољопривреде, економије), инпут-аутпут табеле итд.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;</w:t>
      </w:r>
    </w:p>
    <w:p w:rsidR="001E30C2" w:rsidRPr="006C7B09" w:rsidRDefault="00545CDD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расположивост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нових извора података (нова статистичка истраживања или административни извор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података);</w:t>
      </w:r>
    </w:p>
    <w:p w:rsidR="001E30C2" w:rsidRPr="006C7B09" w:rsidRDefault="001E30C2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промен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базне године </w:t>
      </w:r>
      <w:r w:rsidR="001109DA">
        <w:rPr>
          <w:rFonts w:ascii="Arial" w:hAnsi="Arial" w:cs="Arial"/>
          <w:sz w:val="20"/>
          <w:szCs w:val="20"/>
          <w:lang w:val="sr-Cyrl-RS"/>
        </w:rPr>
        <w:t>‒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примена новог 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пондерационог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система; </w:t>
      </w:r>
    </w:p>
    <w:p w:rsidR="001E30C2" w:rsidRPr="006C7B09" w:rsidRDefault="001E30C2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промене 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у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концепт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им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а, дефиниција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ма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и/или класификација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ма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(нпр. усвајање нове класификације или промене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у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међународни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м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статистички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м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стандард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им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а); </w:t>
      </w:r>
    </w:p>
    <w:p w:rsidR="00C020A1" w:rsidRPr="006C7B09" w:rsidRDefault="003E6EF1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унапређењ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методолошки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х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роцедур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а; </w:t>
      </w:r>
    </w:p>
    <w:p w:rsidR="00C020A1" w:rsidRPr="006C7B09" w:rsidRDefault="00091573" w:rsidP="003E6EF1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измене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законских регулатива</w:t>
      </w:r>
      <w:r w:rsidR="001E30C2" w:rsidRPr="006C7B09">
        <w:rPr>
          <w:rFonts w:asciiTheme="majorHAnsi" w:hAnsiTheme="majorHAnsi" w:cstheme="majorHAnsi"/>
          <w:lang w:val="sr-Cyrl-RS"/>
        </w:rPr>
        <w:t>.</w:t>
      </w:r>
    </w:p>
    <w:p w:rsidR="001E30C2" w:rsidRPr="006C7B09" w:rsidRDefault="001E30C2" w:rsidP="001E30C2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Уобичајен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о је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да велик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ревизиј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ни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је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последица једног узрока, већ комбинациј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>а виш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њих</w:t>
      </w:r>
      <w:r w:rsidR="00362959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. Овакав начин спровођења ревизија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треба прихватити као добру праксу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, јер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се </w:t>
      </w:r>
      <w:r w:rsidR="00F35585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на тај начин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избег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>ава</w:t>
      </w:r>
      <w:r w:rsidR="0031014F" w:rsidRPr="006C7B09">
        <w:rPr>
          <w:rFonts w:asciiTheme="majorHAnsi" w:hAnsiTheme="majorHAnsi" w:cstheme="majorHAnsi"/>
          <w:sz w:val="20"/>
          <w:szCs w:val="20"/>
          <w:lang w:val="sr-Cyrl-RS"/>
        </w:rPr>
        <w:t>ју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пре</w:t>
      </w:r>
      <w:r w:rsidR="0031014F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више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чест</w:t>
      </w:r>
      <w:r w:rsidR="0031014F"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31014F" w:rsidRPr="006C7B09">
        <w:rPr>
          <w:rFonts w:asciiTheme="majorHAnsi" w:hAnsiTheme="majorHAnsi" w:cstheme="majorHAnsi"/>
          <w:sz w:val="20"/>
          <w:szCs w:val="20"/>
          <w:lang w:val="sr-Cyrl-RS"/>
        </w:rPr>
        <w:t>измене објављених података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p w:rsidR="001E30C2" w:rsidRPr="0007619F" w:rsidRDefault="001E30C2" w:rsidP="001E30C2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Велике ревизије утичу на зна</w:t>
      </w:r>
      <w:r w:rsidR="004B5C84" w:rsidRPr="006C7B09">
        <w:rPr>
          <w:rFonts w:asciiTheme="majorHAnsi" w:hAnsiTheme="majorHAnsi" w:cstheme="majorHAnsi"/>
          <w:sz w:val="20"/>
          <w:szCs w:val="20"/>
          <w:lang w:val="sr-Cyrl-RS"/>
        </w:rPr>
        <w:t>т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ан део временских серија, а понекад и на </w:t>
      </w:r>
      <w:r w:rsidR="004B5C8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целе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временске серије. Због тога је неопходно </w:t>
      </w:r>
      <w:r w:rsidR="004B5C8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спровести прерачунавање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података</w:t>
      </w:r>
      <w:r w:rsidR="004B5C8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уназад,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како би се добил</w:t>
      </w:r>
      <w:r w:rsidR="004B5C84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упоредив</w:t>
      </w:r>
      <w:r w:rsidR="004B5C84" w:rsidRPr="006C7B09">
        <w:rPr>
          <w:rFonts w:asciiTheme="majorHAnsi" w:hAnsiTheme="majorHAnsi" w:cstheme="majorHAnsi"/>
          <w:sz w:val="20"/>
          <w:szCs w:val="20"/>
          <w:lang w:val="sr-Cyrl-RS"/>
        </w:rPr>
        <w:t>а серија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података, </w:t>
      </w:r>
      <w:r w:rsidRPr="0007619F">
        <w:rPr>
          <w:rFonts w:asciiTheme="majorHAnsi" w:hAnsiTheme="majorHAnsi" w:cstheme="majorHAnsi"/>
          <w:sz w:val="20"/>
          <w:szCs w:val="20"/>
          <w:lang w:val="sr-Cyrl-RS"/>
        </w:rPr>
        <w:t>избегавајући</w:t>
      </w:r>
      <w:r w:rsidR="0031014F" w:rsidRPr="0007619F">
        <w:rPr>
          <w:rFonts w:asciiTheme="majorHAnsi" w:hAnsiTheme="majorHAnsi" w:cstheme="majorHAnsi"/>
          <w:sz w:val="20"/>
          <w:szCs w:val="20"/>
          <w:lang w:val="sr-Cyrl-RS"/>
        </w:rPr>
        <w:t xml:space="preserve"> прекиде</w:t>
      </w:r>
      <w:r w:rsidR="004B5C84" w:rsidRPr="0007619F">
        <w:rPr>
          <w:rFonts w:asciiTheme="majorHAnsi" w:hAnsiTheme="majorHAnsi" w:cstheme="majorHAnsi"/>
          <w:sz w:val="20"/>
          <w:szCs w:val="20"/>
          <w:lang w:val="sr-Cyrl-RS"/>
        </w:rPr>
        <w:t xml:space="preserve">, колико год је </w:t>
      </w:r>
      <w:r w:rsidRPr="0007619F">
        <w:rPr>
          <w:rFonts w:asciiTheme="majorHAnsi" w:hAnsiTheme="majorHAnsi" w:cstheme="majorHAnsi"/>
          <w:sz w:val="20"/>
          <w:szCs w:val="20"/>
          <w:lang w:val="sr-Cyrl-RS"/>
        </w:rPr>
        <w:t>могуће.</w:t>
      </w:r>
    </w:p>
    <w:p w:rsidR="008F0466" w:rsidRPr="0007619F" w:rsidRDefault="005972D1" w:rsidP="001E30C2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07619F">
        <w:rPr>
          <w:rFonts w:asciiTheme="majorHAnsi" w:hAnsiTheme="majorHAnsi" w:cstheme="majorHAnsi"/>
          <w:sz w:val="20"/>
          <w:szCs w:val="20"/>
          <w:lang w:val="sr-Cyrl-RS"/>
        </w:rPr>
        <w:t>Последњих година дошло је до низа значајних промена у</w:t>
      </w:r>
      <w:r w:rsidR="00567A6B" w:rsidRPr="0007619F">
        <w:rPr>
          <w:rFonts w:asciiTheme="majorHAnsi" w:hAnsiTheme="majorHAnsi" w:cstheme="majorHAnsi"/>
          <w:sz w:val="20"/>
          <w:szCs w:val="20"/>
          <w:lang w:val="sr-Cyrl-RS"/>
        </w:rPr>
        <w:t xml:space="preserve"> методологији и обрачунима националних</w:t>
      </w:r>
      <w:r w:rsidRPr="0007619F">
        <w:rPr>
          <w:rFonts w:asciiTheme="majorHAnsi" w:hAnsiTheme="majorHAnsi" w:cstheme="majorHAnsi"/>
          <w:sz w:val="20"/>
          <w:szCs w:val="20"/>
          <w:lang w:val="sr-Cyrl-RS"/>
        </w:rPr>
        <w:t xml:space="preserve"> рачуна, које су резултирале великим (бенчмарк) ревизијама</w:t>
      </w:r>
      <w:r w:rsidR="007B3628" w:rsidRPr="0007619F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p w:rsidR="008F0466" w:rsidRPr="0007619F" w:rsidRDefault="008F0466" w:rsidP="001E30C2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52725B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highlight w:val="yellow"/>
          <w:lang w:val="sr-Cyrl-RS"/>
        </w:rPr>
        <w:t xml:space="preserve"> </w:t>
      </w:r>
    </w:p>
    <w:p w:rsidR="005972D1" w:rsidRPr="006C7B09" w:rsidRDefault="005972D1" w:rsidP="005972D1">
      <w:pPr>
        <w:spacing w:line="276" w:lineRule="auto"/>
        <w:jc w:val="center"/>
        <w:rPr>
          <w:rFonts w:asciiTheme="majorHAnsi" w:eastAsiaTheme="minorHAnsi" w:hAnsiTheme="majorHAnsi" w:cstheme="majorHAnsi"/>
          <w:b/>
          <w:bCs/>
          <w:sz w:val="20"/>
          <w:szCs w:val="20"/>
          <w:lang w:val="sr-Cyrl-RS"/>
        </w:rPr>
      </w:pPr>
      <w:r w:rsidRPr="0007619F">
        <w:rPr>
          <w:rFonts w:asciiTheme="majorHAnsi" w:hAnsiTheme="majorHAnsi" w:cstheme="majorHAnsi"/>
          <w:b/>
          <w:sz w:val="20"/>
          <w:szCs w:val="20"/>
          <w:lang w:val="sr-Cyrl-RS"/>
        </w:rPr>
        <w:lastRenderedPageBreak/>
        <w:t>Велике (бенчмарк) ревизије националних рачуна</w:t>
      </w:r>
    </w:p>
    <w:tbl>
      <w:tblPr>
        <w:tblStyle w:val="TableGrid1"/>
        <w:tblW w:w="0" w:type="auto"/>
        <w:jc w:val="center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A8D08D" w:themeColor="accent6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7839"/>
      </w:tblGrid>
      <w:tr w:rsidR="005972D1" w:rsidRPr="006C7B09" w:rsidTr="00DA595F">
        <w:trPr>
          <w:trHeight w:val="316"/>
          <w:jc w:val="center"/>
        </w:trPr>
        <w:tc>
          <w:tcPr>
            <w:tcW w:w="1475" w:type="dxa"/>
            <w:shd w:val="clear" w:color="auto" w:fill="E2EFD9" w:themeFill="accent6" w:themeFillTint="33"/>
            <w:vAlign w:val="center"/>
          </w:tcPr>
          <w:p w:rsidR="005972D1" w:rsidRPr="006C7B09" w:rsidRDefault="005972D1" w:rsidP="001365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Година публиковања</w:t>
            </w:r>
          </w:p>
        </w:tc>
        <w:tc>
          <w:tcPr>
            <w:tcW w:w="7839" w:type="dxa"/>
            <w:shd w:val="clear" w:color="auto" w:fill="E2EFD9" w:themeFill="accent6" w:themeFillTint="33"/>
            <w:vAlign w:val="center"/>
          </w:tcPr>
          <w:p w:rsidR="005972D1" w:rsidRPr="006C7B09" w:rsidRDefault="005972D1" w:rsidP="001365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</w:t>
            </w:r>
            <w:r w:rsidR="004D51F6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лавни резултати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ревизије</w:t>
            </w:r>
          </w:p>
        </w:tc>
      </w:tr>
      <w:tr w:rsidR="005972D1" w:rsidRPr="00E43270" w:rsidTr="00DA595F">
        <w:trPr>
          <w:trHeight w:val="1835"/>
          <w:jc w:val="center"/>
        </w:trPr>
        <w:tc>
          <w:tcPr>
            <w:tcW w:w="1475" w:type="dxa"/>
            <w:vAlign w:val="center"/>
          </w:tcPr>
          <w:p w:rsidR="005972D1" w:rsidRPr="0007619F" w:rsidRDefault="005972D1" w:rsidP="001365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2012</w:t>
            </w:r>
          </w:p>
        </w:tc>
        <w:tc>
          <w:tcPr>
            <w:tcW w:w="7839" w:type="dxa"/>
            <w:vAlign w:val="center"/>
          </w:tcPr>
          <w:p w:rsidR="005972D1" w:rsidRPr="0007619F" w:rsidRDefault="005972D1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Уведена је нова Национална клас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ификација делатности (КД</w:t>
            </w:r>
            <w:r w:rsidR="00176865" w:rsidRPr="00E43270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2010)</w:t>
            </w:r>
            <w:r w:rsidR="001109DA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,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усаглашена 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</w:t>
            </w:r>
            <w:r w:rsidR="004C69FD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а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међународном </w:t>
            </w:r>
            <w:r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NACE Rev. 2</w:t>
            </w:r>
          </w:p>
          <w:p w:rsidR="005972D1" w:rsidRPr="0007619F" w:rsidRDefault="0006765E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Промењен је метод</w:t>
            </w:r>
            <w:r w:rsidR="005972D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обрачуна сталних цена </w:t>
            </w:r>
            <w:r w:rsidR="001109DA">
              <w:rPr>
                <w:rFonts w:ascii="Arial" w:hAnsi="Arial" w:cs="Arial"/>
                <w:sz w:val="18"/>
                <w:szCs w:val="18"/>
                <w:lang w:val="sr-Cyrl-RS"/>
              </w:rPr>
              <w:t>‒</w:t>
            </w:r>
            <w:r w:rsidR="005972D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прелазак са обрачуна са фиксном базном </w:t>
            </w:r>
            <w:r w:rsidR="008F563A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годином на обрачун</w:t>
            </w:r>
            <w:r w:rsidR="005972D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у ценама претходне године</w:t>
            </w:r>
          </w:p>
          <w:p w:rsidR="005972D1" w:rsidRPr="0007619F" w:rsidRDefault="005972D1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Примењен је метод уланчавања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(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2010. година 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узета </w:t>
            </w:r>
            <w:r w:rsidR="008D7FD3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је 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као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референтна година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)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</w:p>
          <w:p w:rsidR="005972D1" w:rsidRPr="0007619F" w:rsidRDefault="005972D1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Ревидирана</w:t>
            </w:r>
            <w:r w:rsidR="008D7FD3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је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серија података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за период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2001</w:t>
            </w:r>
            <w:r w:rsidR="001109DA">
              <w:rPr>
                <w:rFonts w:ascii="Arial" w:hAnsi="Arial" w:cs="Arial"/>
                <w:sz w:val="18"/>
                <w:szCs w:val="18"/>
                <w:lang w:val="sr-Cyrl-RS"/>
              </w:rPr>
              <w:t>‒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2010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. </w:t>
            </w:r>
          </w:p>
        </w:tc>
      </w:tr>
      <w:tr w:rsidR="005972D1" w:rsidRPr="00E43270" w:rsidTr="00DA595F">
        <w:trPr>
          <w:trHeight w:val="1835"/>
          <w:jc w:val="center"/>
        </w:trPr>
        <w:tc>
          <w:tcPr>
            <w:tcW w:w="1475" w:type="dxa"/>
            <w:vAlign w:val="center"/>
          </w:tcPr>
          <w:p w:rsidR="005972D1" w:rsidRPr="0007619F" w:rsidRDefault="005972D1" w:rsidP="001365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2014</w:t>
            </w:r>
          </w:p>
        </w:tc>
        <w:tc>
          <w:tcPr>
            <w:tcW w:w="7839" w:type="dxa"/>
            <w:vAlign w:val="center"/>
          </w:tcPr>
          <w:p w:rsidR="005972D1" w:rsidRPr="0007619F" w:rsidRDefault="0006765E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Примењ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е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на је нова методологија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националних рачуна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,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  <w:r w:rsidR="000A02B4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Европски систем рачуна 2010 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(</w:t>
            </w:r>
            <w:r w:rsidR="00F82F78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ESA 2010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)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уместо </w:t>
            </w:r>
            <w:r w:rsidR="005972D1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ESA</w:t>
            </w:r>
            <w:r w:rsidR="008F563A" w:rsidRPr="00E43270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 xml:space="preserve"> </w:t>
            </w:r>
            <w:r w:rsidR="00F82F78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95</w:t>
            </w:r>
          </w:p>
          <w:p w:rsidR="00F82F78" w:rsidRPr="0007619F" w:rsidRDefault="008A6D5C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Уведен је м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етод дупле дефлације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у делатностима где је</w:t>
            </w:r>
            <w:r w:rsidR="00F8601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то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било могуће, односно тамо где су дефлатори били 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расположиви</w:t>
            </w:r>
          </w:p>
          <w:p w:rsidR="00F82F78" w:rsidRPr="0007619F" w:rsidRDefault="00F8601B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Комплетирана је серија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података</w:t>
            </w:r>
            <w:r w:rsidR="008A6D5C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, укључивањем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обрачуна БДП</w:t>
            </w:r>
            <w:r w:rsidR="00840512" w:rsidRPr="0007619F">
              <w:rPr>
                <w:rFonts w:asciiTheme="majorHAnsi" w:hAnsiTheme="majorHAnsi" w:cstheme="majorHAnsi"/>
                <w:sz w:val="18"/>
                <w:szCs w:val="18"/>
                <w:lang w:val="sr-Latn-RS"/>
              </w:rPr>
              <w:t>-</w:t>
            </w:r>
            <w:r w:rsidR="008F563A" w:rsidRPr="0007619F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за 1995. и 1996. годину</w:t>
            </w:r>
          </w:p>
          <w:p w:rsidR="005972D1" w:rsidRPr="0007619F" w:rsidRDefault="00F82F78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Ревидирана </w:t>
            </w:r>
            <w:r w:rsidR="00F8601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је 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серија података </w:t>
            </w:r>
            <w:r w:rsidR="008A6D5C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за период </w:t>
            </w:r>
            <w:r w:rsidR="005972D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1997</w:t>
            </w:r>
            <w:r w:rsidR="001109DA">
              <w:rPr>
                <w:rFonts w:ascii="Arial" w:hAnsi="Arial" w:cs="Arial"/>
                <w:sz w:val="18"/>
                <w:szCs w:val="18"/>
                <w:lang w:val="sr-Cyrl-RS"/>
              </w:rPr>
              <w:t>‒</w:t>
            </w:r>
            <w:r w:rsidR="005972D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2012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Latn-RS"/>
              </w:rPr>
              <w:t xml:space="preserve">. </w:t>
            </w:r>
          </w:p>
        </w:tc>
      </w:tr>
      <w:tr w:rsidR="002E3B71" w:rsidRPr="00E43270" w:rsidTr="00DA595F">
        <w:trPr>
          <w:trHeight w:val="1835"/>
          <w:jc w:val="center"/>
        </w:trPr>
        <w:tc>
          <w:tcPr>
            <w:tcW w:w="1475" w:type="dxa"/>
            <w:vAlign w:val="center"/>
          </w:tcPr>
          <w:p w:rsidR="002E3B71" w:rsidRPr="0007619F" w:rsidRDefault="002E3B71" w:rsidP="001365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Latn-RS"/>
              </w:rPr>
            </w:pPr>
            <w:r w:rsidRPr="0007619F">
              <w:rPr>
                <w:rFonts w:asciiTheme="majorHAnsi" w:hAnsiTheme="majorHAnsi" w:cstheme="majorHAnsi"/>
                <w:b/>
                <w:sz w:val="18"/>
                <w:szCs w:val="18"/>
                <w:lang w:val="sr-Latn-RS"/>
              </w:rPr>
              <w:t>2018-2019</w:t>
            </w:r>
          </w:p>
        </w:tc>
        <w:tc>
          <w:tcPr>
            <w:tcW w:w="7839" w:type="dxa"/>
            <w:vAlign w:val="center"/>
          </w:tcPr>
          <w:p w:rsidR="002E3B71" w:rsidRPr="0007619F" w:rsidRDefault="005F568E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Побољшана је усаглашеност</w:t>
            </w:r>
            <w:r w:rsidR="008A6D5C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обрачуна</w:t>
            </w:r>
            <w:r w:rsidR="002E3B7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националних рачуна </w:t>
            </w:r>
            <w:r w:rsidR="008A6D5C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са </w:t>
            </w:r>
            <w:r w:rsidR="002E3B71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ЕSA</w:t>
            </w:r>
            <w:r w:rsidR="008A6D5C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 xml:space="preserve"> </w:t>
            </w:r>
            <w:r w:rsidR="002E3B71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2010</w:t>
            </w:r>
          </w:p>
          <w:p w:rsidR="001C0B8B" w:rsidRPr="0007619F" w:rsidRDefault="000A02B4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Приме</w:t>
            </w:r>
            <w:r w:rsidR="005F568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ње</w:t>
            </w:r>
            <w:r w:rsidR="003D36AC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н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а </w:t>
            </w:r>
            <w:r w:rsidR="005F568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је </w:t>
            </w:r>
            <w:r w:rsidR="001C0B8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секторск</w:t>
            </w:r>
            <w:r w:rsidR="005F568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а</w:t>
            </w:r>
            <w:r w:rsidR="001C0B8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класификациј</w:t>
            </w:r>
            <w:r w:rsidR="005F568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а</w:t>
            </w:r>
            <w:r w:rsidR="001C0B8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усаглашен</w:t>
            </w:r>
            <w:r w:rsidR="005F568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а</w:t>
            </w:r>
            <w:r w:rsidR="001C0B8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са препорукама </w:t>
            </w:r>
            <w:r w:rsidR="001C0B8B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ЕSA 2010</w:t>
            </w:r>
          </w:p>
          <w:p w:rsidR="000A02B4" w:rsidRPr="0007619F" w:rsidRDefault="008A6D5C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Примењени</w:t>
            </w:r>
            <w:r w:rsidR="00792FB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су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резултати обрачуна</w:t>
            </w:r>
            <w:r w:rsidR="000A02B4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економски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х рачуна</w:t>
            </w:r>
            <w:r w:rsidR="000A02B4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пољопривреде (</w:t>
            </w:r>
            <w:r w:rsidR="000A02B4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ЕАА</w:t>
            </w:r>
            <w:r w:rsidR="000A02B4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)</w:t>
            </w:r>
          </w:p>
          <w:p w:rsidR="000A02B4" w:rsidRPr="0007619F" w:rsidRDefault="001C0B8B" w:rsidP="009731F0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Уведен</w:t>
            </w:r>
            <w:r w:rsidR="00792FB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је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систем</w:t>
            </w:r>
            <w:r w:rsidR="009731F0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  <w:r w:rsidR="009731F0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SUT-IOT</w:t>
            </w:r>
            <w:r w:rsidR="009731F0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у националне рачуне</w:t>
            </w:r>
          </w:p>
          <w:p w:rsidR="004D51F6" w:rsidRPr="0007619F" w:rsidRDefault="004D51F6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Ревидирана</w:t>
            </w:r>
            <w:r w:rsidR="00F8601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је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серија података </w:t>
            </w:r>
            <w:r w:rsidR="00672243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за период 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1995</w:t>
            </w:r>
            <w:r w:rsidR="001109DA">
              <w:rPr>
                <w:rFonts w:ascii="Arial" w:hAnsi="Arial" w:cs="Arial"/>
                <w:sz w:val="18"/>
                <w:szCs w:val="18"/>
                <w:lang w:val="sr-Cyrl-RS"/>
              </w:rPr>
              <w:t>‒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2017</w:t>
            </w:r>
            <w:r w:rsidR="00672243" w:rsidRPr="0007619F">
              <w:rPr>
                <w:rFonts w:asciiTheme="majorHAnsi" w:hAnsiTheme="majorHAnsi" w:cstheme="majorHAnsi"/>
                <w:sz w:val="18"/>
                <w:szCs w:val="18"/>
                <w:lang w:val="sr-Latn-RS"/>
              </w:rPr>
              <w:t>.</w:t>
            </w:r>
          </w:p>
        </w:tc>
      </w:tr>
    </w:tbl>
    <w:p w:rsidR="005972D1" w:rsidRPr="006C7B09" w:rsidRDefault="005972D1" w:rsidP="001E30C2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1E30C2" w:rsidRPr="006C7B09" w:rsidRDefault="001C6CC1" w:rsidP="00AF5F55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Велике ревизије на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јав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љују се знатно пре датума о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бјављивања ревидираних података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корисници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се информишу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о њено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м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спровођењу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у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прописаним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роковима и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форми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.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Најава би требало да садржи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разло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ге за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ревизиј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у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, датум објављивања ревидираних података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, дужину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 врст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временских серија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података,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које су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обухваћене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ревизиј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ом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p w:rsidR="003E6EF1" w:rsidRPr="006C7B09" w:rsidRDefault="00F35585" w:rsidP="003E6EF1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У</w:t>
      </w:r>
      <w:r w:rsidR="007248F0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з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објављен</w:t>
      </w:r>
      <w:r w:rsidR="007248F0"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ревидиран</w:t>
      </w:r>
      <w:r w:rsidR="007248F0"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пода</w:t>
      </w:r>
      <w:r w:rsidR="007248F0" w:rsidRPr="006C7B09">
        <w:rPr>
          <w:rFonts w:asciiTheme="majorHAnsi" w:hAnsiTheme="majorHAnsi" w:cstheme="majorHAnsi"/>
          <w:sz w:val="20"/>
          <w:szCs w:val="20"/>
          <w:lang w:val="sr-Cyrl-RS"/>
        </w:rPr>
        <w:t>тке треба објавити и пратећу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документациј</w:t>
      </w:r>
      <w:r w:rsidR="007248F0" w:rsidRPr="006C7B09">
        <w:rPr>
          <w:rFonts w:asciiTheme="majorHAnsi" w:hAnsiTheme="majorHAnsi" w:cstheme="majorHAnsi"/>
          <w:sz w:val="20"/>
          <w:szCs w:val="20"/>
          <w:lang w:val="sr-Cyrl-RS"/>
        </w:rPr>
        <w:t>у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, </w:t>
      </w:r>
      <w:r w:rsidR="007248F0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која корисницима пружа могућност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да оцене нове временске серије. Документација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треба да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садржи разлоге за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спровођење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ревизиј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,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пр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оцену утицаја ревизиј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на агрегате,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да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прика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же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упоредн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и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преглед старих и нових података и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да објасни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дужину ревидираних временских серија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и ниво детаљ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ности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ревизиј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.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Осим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тога, пре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спровођења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велике ревизије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потребно је из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врши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ти пробне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о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б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рачун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(бар за најважније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економске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индикаторе), а након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спровођења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ревизије објав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ити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резултат анализе.</w:t>
      </w:r>
    </w:p>
    <w:p w:rsidR="00A747A9" w:rsidRPr="006C7B09" w:rsidRDefault="00633AB8" w:rsidP="002E2F6A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Неопходно је осигурати максималну доследност у примени и координацију између ревизија</w:t>
      </w:r>
      <w:r w:rsidR="005A7C69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различитих области.</w:t>
      </w:r>
    </w:p>
    <w:p w:rsidR="00A747A9" w:rsidRPr="006C7B09" w:rsidRDefault="003E6EF1" w:rsidP="00A747A9">
      <w:pPr>
        <w:pStyle w:val="Heading1"/>
        <w:rPr>
          <w:rFonts w:cstheme="majorHAnsi"/>
        </w:rPr>
      </w:pPr>
      <w:bookmarkStart w:id="5" w:name="_Toc52283277"/>
      <w:r w:rsidRPr="006C7B09">
        <w:rPr>
          <w:rFonts w:cstheme="majorHAnsi"/>
          <w:lang w:val="sr-Cyrl-RS"/>
        </w:rPr>
        <w:t>Ванредне ревизије</w:t>
      </w:r>
      <w:bookmarkEnd w:id="5"/>
    </w:p>
    <w:p w:rsidR="003E6EF1" w:rsidRPr="006C7B09" w:rsidRDefault="0042776B" w:rsidP="003E6EF1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Ван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редне ревизије су неп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ланиране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измене објављених статистичких података, које су последица неочекиваних догађаја. Спроводе се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када се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откри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је да у објављеним статистичким подацима/информацијама постоје лаке/тешке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грешк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p w:rsidR="00A747A9" w:rsidRPr="00E43270" w:rsidRDefault="003E6EF1" w:rsidP="002E2F6A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Детаљно објашњење у вези са ванредним ревизијама може се наћи у документу </w:t>
      </w:r>
      <w:r w:rsidR="00FB65B7" w:rsidRPr="00E43270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1109DA" w:rsidRPr="00E43270">
        <w:rPr>
          <w:lang w:val="sr-Cyrl-RS"/>
        </w:rPr>
        <w:t>„</w:t>
      </w:r>
      <w:hyperlink r:id="rId11" w:history="1">
        <w:r w:rsidR="0042776B" w:rsidRPr="00E43270">
          <w:rPr>
            <w:rStyle w:val="Hyperlink"/>
            <w:lang w:val="sr-Cyrl-RS"/>
          </w:rPr>
          <w:t>Општа политика ревизије</w:t>
        </w:r>
      </w:hyperlink>
      <w:r w:rsidR="001109DA">
        <w:rPr>
          <w:rFonts w:ascii="Arial" w:hAnsi="Arial" w:cs="Arial"/>
          <w:sz w:val="20"/>
          <w:szCs w:val="20"/>
          <w:lang w:val="sr-Cyrl-RS"/>
        </w:rPr>
        <w:t>“</w:t>
      </w:r>
      <w:r w:rsidR="00906365" w:rsidRPr="006C7B09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sectPr w:rsidR="00A747A9" w:rsidRPr="00E43270" w:rsidSect="00296770">
      <w:footerReference w:type="first" r:id="rId12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C7C1C" w16cex:dateUtc="2020-06-11T07:47:00Z"/>
  <w16cex:commentExtensible w16cex:durableId="228C7BDE" w16cex:dateUtc="2020-06-11T07:46:00Z"/>
  <w16cex:commentExtensible w16cex:durableId="228C7FA4" w16cex:dateUtc="2020-06-11T08:02:00Z"/>
  <w16cex:commentExtensible w16cex:durableId="228C7C84" w16cex:dateUtc="2020-06-11T07:48:00Z"/>
  <w16cex:commentExtensible w16cex:durableId="228C80B8" w16cex:dateUtc="2020-06-11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69B3DD" w16cid:durableId="228C7C1C"/>
  <w16cid:commentId w16cid:paraId="0E424900" w16cid:durableId="228C7BDE"/>
  <w16cid:commentId w16cid:paraId="0D03EC14" w16cid:durableId="228C7FA4"/>
  <w16cid:commentId w16cid:paraId="5F334CA9" w16cid:durableId="228C7C84"/>
  <w16cid:commentId w16cid:paraId="0B2A51E8" w16cid:durableId="228C80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D6" w:rsidRDefault="001B59D6" w:rsidP="008775ED">
      <w:pPr>
        <w:spacing w:after="0" w:line="240" w:lineRule="auto"/>
      </w:pPr>
      <w:r>
        <w:separator/>
      </w:r>
    </w:p>
  </w:endnote>
  <w:endnote w:type="continuationSeparator" w:id="0">
    <w:p w:rsidR="001B59D6" w:rsidRDefault="001B59D6" w:rsidP="008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572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270" w:rsidRDefault="00E432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853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270" w:rsidRDefault="00E432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323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2BF" w:rsidRDefault="001B59D6">
        <w:pPr>
          <w:pStyle w:val="Footer"/>
          <w:jc w:val="right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215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270" w:rsidRDefault="00E432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D6" w:rsidRDefault="001B59D6" w:rsidP="008775ED">
      <w:pPr>
        <w:spacing w:after="0" w:line="240" w:lineRule="auto"/>
      </w:pPr>
      <w:r>
        <w:separator/>
      </w:r>
    </w:p>
  </w:footnote>
  <w:footnote w:type="continuationSeparator" w:id="0">
    <w:p w:rsidR="001B59D6" w:rsidRDefault="001B59D6" w:rsidP="008775ED">
      <w:pPr>
        <w:spacing w:after="0" w:line="240" w:lineRule="auto"/>
      </w:pPr>
      <w:r>
        <w:continuationSeparator/>
      </w:r>
    </w:p>
  </w:footnote>
  <w:footnote w:id="1">
    <w:p w:rsidR="004A6443" w:rsidRPr="00691FAE" w:rsidRDefault="004A6443">
      <w:pPr>
        <w:pStyle w:val="FootnoteText"/>
        <w:rPr>
          <w:rFonts w:asciiTheme="majorHAnsi" w:hAnsiTheme="majorHAnsi" w:cstheme="majorHAnsi"/>
          <w:lang w:val="sr-Cyrl-RS"/>
        </w:rPr>
      </w:pPr>
      <w:r w:rsidRPr="00691FAE">
        <w:rPr>
          <w:rStyle w:val="FootnoteReference"/>
          <w:rFonts w:asciiTheme="majorHAnsi" w:hAnsiTheme="majorHAnsi" w:cstheme="majorHAnsi"/>
        </w:rPr>
        <w:footnoteRef/>
      </w:r>
      <w:r w:rsidRPr="00691FAE">
        <w:rPr>
          <w:rFonts w:asciiTheme="majorHAnsi" w:hAnsiTheme="majorHAnsi" w:cstheme="majorHAnsi"/>
        </w:rPr>
        <w:t xml:space="preserve"> </w:t>
      </w:r>
      <w:hyperlink r:id="rId1" w:history="1">
        <w:r w:rsidRPr="00691FAE">
          <w:rPr>
            <w:rStyle w:val="Hyperlink"/>
            <w:rFonts w:asciiTheme="majorHAnsi" w:hAnsiTheme="majorHAnsi" w:cstheme="majorHAnsi"/>
          </w:rPr>
          <w:t>https://www.cmfb.org/main-topics/revision-policy</w:t>
        </w:r>
      </w:hyperlink>
    </w:p>
  </w:footnote>
  <w:footnote w:id="2">
    <w:p w:rsidR="004A6443" w:rsidRPr="00691FAE" w:rsidRDefault="004A6443">
      <w:pPr>
        <w:pStyle w:val="FootnoteText"/>
        <w:rPr>
          <w:rFonts w:asciiTheme="majorHAnsi" w:hAnsiTheme="majorHAnsi" w:cstheme="majorHAnsi"/>
          <w:lang w:val="sr-Cyrl-RS"/>
        </w:rPr>
      </w:pPr>
      <w:r w:rsidRPr="00691FAE">
        <w:rPr>
          <w:rStyle w:val="FootnoteReference"/>
          <w:rFonts w:asciiTheme="majorHAnsi" w:hAnsiTheme="majorHAnsi" w:cstheme="majorHAnsi"/>
        </w:rPr>
        <w:footnoteRef/>
      </w:r>
      <w:r w:rsidRPr="00E43270">
        <w:rPr>
          <w:rFonts w:asciiTheme="majorHAnsi" w:hAnsiTheme="majorHAnsi" w:cstheme="majorHAnsi"/>
          <w:lang w:val="sr-Cyrl-RS"/>
        </w:rPr>
        <w:t xml:space="preserve"> </w:t>
      </w:r>
      <w:hyperlink r:id="rId2" w:history="1">
        <w:r w:rsidRPr="00691FAE">
          <w:rPr>
            <w:rStyle w:val="Hyperlink"/>
            <w:rFonts w:asciiTheme="majorHAnsi" w:hAnsiTheme="majorHAnsi" w:cstheme="majorHAnsi"/>
          </w:rPr>
          <w:t>https</w:t>
        </w:r>
        <w:r w:rsidRPr="00E43270">
          <w:rPr>
            <w:rStyle w:val="Hyperlink"/>
            <w:rFonts w:asciiTheme="majorHAnsi" w:hAnsiTheme="majorHAnsi" w:cstheme="majorHAnsi"/>
            <w:lang w:val="sr-Cyrl-RS"/>
          </w:rPr>
          <w:t>://</w:t>
        </w:r>
        <w:r w:rsidRPr="00691FAE">
          <w:rPr>
            <w:rStyle w:val="Hyperlink"/>
            <w:rFonts w:asciiTheme="majorHAnsi" w:hAnsiTheme="majorHAnsi" w:cstheme="majorHAnsi"/>
          </w:rPr>
          <w:t>ec</w:t>
        </w:r>
        <w:r w:rsidRPr="00E43270">
          <w:rPr>
            <w:rStyle w:val="Hyperlink"/>
            <w:rFonts w:asciiTheme="majorHAnsi" w:hAnsiTheme="majorHAnsi" w:cstheme="majorHAnsi"/>
            <w:lang w:val="sr-Cyrl-RS"/>
          </w:rPr>
          <w:t>.</w:t>
        </w:r>
        <w:r w:rsidRPr="00691FAE">
          <w:rPr>
            <w:rStyle w:val="Hyperlink"/>
            <w:rFonts w:asciiTheme="majorHAnsi" w:hAnsiTheme="majorHAnsi" w:cstheme="majorHAnsi"/>
          </w:rPr>
          <w:t>europa</w:t>
        </w:r>
        <w:r w:rsidRPr="00E43270">
          <w:rPr>
            <w:rStyle w:val="Hyperlink"/>
            <w:rFonts w:asciiTheme="majorHAnsi" w:hAnsiTheme="majorHAnsi" w:cstheme="majorHAnsi"/>
            <w:lang w:val="sr-Cyrl-RS"/>
          </w:rPr>
          <w:t>.</w:t>
        </w:r>
        <w:r w:rsidRPr="00691FAE">
          <w:rPr>
            <w:rStyle w:val="Hyperlink"/>
            <w:rFonts w:asciiTheme="majorHAnsi" w:hAnsiTheme="majorHAnsi" w:cstheme="majorHAnsi"/>
          </w:rPr>
          <w:t>eu</w:t>
        </w:r>
        <w:r w:rsidRPr="00E43270">
          <w:rPr>
            <w:rStyle w:val="Hyperlink"/>
            <w:rFonts w:asciiTheme="majorHAnsi" w:hAnsiTheme="majorHAnsi" w:cstheme="majorHAnsi"/>
            <w:lang w:val="sr-Cyrl-RS"/>
          </w:rPr>
          <w:t>/</w:t>
        </w:r>
        <w:r w:rsidRPr="00691FAE">
          <w:rPr>
            <w:rStyle w:val="Hyperlink"/>
            <w:rFonts w:asciiTheme="majorHAnsi" w:hAnsiTheme="majorHAnsi" w:cstheme="majorHAnsi"/>
          </w:rPr>
          <w:t>eurostat</w:t>
        </w:r>
        <w:r w:rsidRPr="00E43270">
          <w:rPr>
            <w:rStyle w:val="Hyperlink"/>
            <w:rFonts w:asciiTheme="majorHAnsi" w:hAnsiTheme="majorHAnsi" w:cstheme="majorHAnsi"/>
            <w:lang w:val="sr-Cyrl-RS"/>
          </w:rPr>
          <w:t>/</w:t>
        </w:r>
        <w:r w:rsidRPr="00691FAE">
          <w:rPr>
            <w:rStyle w:val="Hyperlink"/>
            <w:rFonts w:asciiTheme="majorHAnsi" w:hAnsiTheme="majorHAnsi" w:cstheme="majorHAnsi"/>
          </w:rPr>
          <w:t>documents</w:t>
        </w:r>
        <w:r w:rsidRPr="00E43270">
          <w:rPr>
            <w:rStyle w:val="Hyperlink"/>
            <w:rFonts w:asciiTheme="majorHAnsi" w:hAnsiTheme="majorHAnsi" w:cstheme="majorHAnsi"/>
            <w:lang w:val="sr-Cyrl-RS"/>
          </w:rPr>
          <w:t>/3859598/9530664/</w:t>
        </w:r>
        <w:r w:rsidRPr="00691FAE">
          <w:rPr>
            <w:rStyle w:val="Hyperlink"/>
            <w:rFonts w:asciiTheme="majorHAnsi" w:hAnsiTheme="majorHAnsi" w:cstheme="majorHAnsi"/>
          </w:rPr>
          <w:t>KS</w:t>
        </w:r>
        <w:r w:rsidRPr="00E43270">
          <w:rPr>
            <w:rStyle w:val="Hyperlink"/>
            <w:rFonts w:asciiTheme="majorHAnsi" w:hAnsiTheme="majorHAnsi" w:cstheme="majorHAnsi"/>
            <w:lang w:val="sr-Cyrl-RS"/>
          </w:rPr>
          <w:t>-</w:t>
        </w:r>
        <w:r w:rsidRPr="00691FAE">
          <w:rPr>
            <w:rStyle w:val="Hyperlink"/>
            <w:rFonts w:asciiTheme="majorHAnsi" w:hAnsiTheme="majorHAnsi" w:cstheme="majorHAnsi"/>
          </w:rPr>
          <w:t>GQ</w:t>
        </w:r>
        <w:r w:rsidRPr="00E43270">
          <w:rPr>
            <w:rStyle w:val="Hyperlink"/>
            <w:rFonts w:asciiTheme="majorHAnsi" w:hAnsiTheme="majorHAnsi" w:cstheme="majorHAnsi"/>
            <w:lang w:val="sr-Cyrl-RS"/>
          </w:rPr>
          <w:t>-18-012-</w:t>
        </w:r>
        <w:r w:rsidRPr="00691FAE">
          <w:rPr>
            <w:rStyle w:val="Hyperlink"/>
            <w:rFonts w:asciiTheme="majorHAnsi" w:hAnsiTheme="majorHAnsi" w:cstheme="majorHAnsi"/>
          </w:rPr>
          <w:t>EN</w:t>
        </w:r>
        <w:r w:rsidRPr="00E43270">
          <w:rPr>
            <w:rStyle w:val="Hyperlink"/>
            <w:rFonts w:asciiTheme="majorHAnsi" w:hAnsiTheme="majorHAnsi" w:cstheme="majorHAnsi"/>
            <w:lang w:val="sr-Cyrl-RS"/>
          </w:rPr>
          <w:t>-</w:t>
        </w:r>
        <w:r w:rsidRPr="00691FAE">
          <w:rPr>
            <w:rStyle w:val="Hyperlink"/>
            <w:rFonts w:asciiTheme="majorHAnsi" w:hAnsiTheme="majorHAnsi" w:cstheme="majorHAnsi"/>
          </w:rPr>
          <w:t>N</w:t>
        </w:r>
        <w:r w:rsidRPr="00E43270">
          <w:rPr>
            <w:rStyle w:val="Hyperlink"/>
            <w:rFonts w:asciiTheme="majorHAnsi" w:hAnsiTheme="majorHAnsi" w:cstheme="majorHAnsi"/>
            <w:lang w:val="sr-Cyrl-RS"/>
          </w:rPr>
          <w:t>.</w:t>
        </w:r>
        <w:r w:rsidRPr="00691FAE">
          <w:rPr>
            <w:rStyle w:val="Hyperlink"/>
            <w:rFonts w:asciiTheme="majorHAnsi" w:hAnsiTheme="majorHAnsi" w:cstheme="majorHAnsi"/>
          </w:rPr>
          <w:t>pdf</w:t>
        </w:r>
      </w:hyperlink>
    </w:p>
  </w:footnote>
  <w:footnote w:id="3">
    <w:p w:rsidR="0010741C" w:rsidRPr="0010741C" w:rsidRDefault="0010741C" w:rsidP="00D42291">
      <w:pPr>
        <w:pStyle w:val="FootnoteText"/>
        <w:jc w:val="both"/>
        <w:rPr>
          <w:rFonts w:asciiTheme="majorHAnsi" w:hAnsiTheme="majorHAnsi" w:cstheme="majorHAnsi"/>
          <w:highlight w:val="yellow"/>
          <w:lang w:val="sr-Cyrl-RS"/>
        </w:rPr>
      </w:pPr>
      <w:r>
        <w:rPr>
          <w:rStyle w:val="FootnoteReference"/>
        </w:rPr>
        <w:footnoteRef/>
      </w:r>
      <w:r w:rsidRPr="00E43270">
        <w:rPr>
          <w:lang w:val="sr-Cyrl-RS"/>
        </w:rPr>
        <w:t xml:space="preserve"> </w:t>
      </w:r>
      <w:r w:rsidRPr="0007619F">
        <w:rPr>
          <w:rFonts w:asciiTheme="majorHAnsi" w:hAnsiTheme="majorHAnsi" w:cstheme="majorHAnsi"/>
          <w:lang w:val="sr-Cyrl-RS"/>
        </w:rPr>
        <w:t>У случају великих (бенчмарк) ревизија табеле понуде и употребе треба да се ажурирају за годину t-4 (после тога</w:t>
      </w:r>
      <w:r w:rsidR="00335080" w:rsidRPr="0007619F">
        <w:rPr>
          <w:rFonts w:asciiTheme="majorHAnsi" w:hAnsiTheme="majorHAnsi" w:cstheme="majorHAnsi"/>
          <w:lang w:val="sr-Cyrl-RS"/>
        </w:rPr>
        <w:t xml:space="preserve">, </w:t>
      </w:r>
      <w:r w:rsidRPr="0007619F">
        <w:rPr>
          <w:rFonts w:asciiTheme="majorHAnsi" w:hAnsiTheme="majorHAnsi" w:cstheme="majorHAnsi"/>
          <w:lang w:val="sr-Cyrl-RS"/>
        </w:rPr>
        <w:t>у децембру следи трансмисија табела понуде и употребе за годину t-3, у складу са захтевима трансмисионог програма).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7A8"/>
    <w:multiLevelType w:val="hybridMultilevel"/>
    <w:tmpl w:val="9C5E542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C380DAC"/>
    <w:multiLevelType w:val="hybridMultilevel"/>
    <w:tmpl w:val="5FE2C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F72A6"/>
    <w:multiLevelType w:val="hybridMultilevel"/>
    <w:tmpl w:val="76DA0208"/>
    <w:lvl w:ilvl="0" w:tplc="33ACA5FC">
      <w:start w:val="1"/>
      <w:numFmt w:val="bullet"/>
      <w:lvlText w:val="ç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D41A8"/>
    <w:multiLevelType w:val="hybridMultilevel"/>
    <w:tmpl w:val="F3C8D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D4D04"/>
    <w:multiLevelType w:val="hybridMultilevel"/>
    <w:tmpl w:val="9C96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12D6A"/>
    <w:multiLevelType w:val="hybridMultilevel"/>
    <w:tmpl w:val="F18C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56116"/>
    <w:multiLevelType w:val="hybridMultilevel"/>
    <w:tmpl w:val="B7E4541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615CA"/>
    <w:multiLevelType w:val="hybridMultilevel"/>
    <w:tmpl w:val="3B024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33284"/>
    <w:multiLevelType w:val="hybridMultilevel"/>
    <w:tmpl w:val="00B0D302"/>
    <w:lvl w:ilvl="0" w:tplc="27F8B34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25022"/>
    <w:multiLevelType w:val="hybridMultilevel"/>
    <w:tmpl w:val="F38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5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7"/>
  </w:num>
  <w:num w:numId="24">
    <w:abstractNumId w:val="2"/>
  </w:num>
  <w:num w:numId="25">
    <w:abstractNumId w:val="0"/>
  </w:num>
  <w:num w:numId="26">
    <w:abstractNumId w:val="4"/>
  </w:num>
  <w:num w:numId="27">
    <w:abstractNumId w:val="10"/>
  </w:num>
  <w:num w:numId="28">
    <w:abstractNumId w:val="9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IE" w:vendorID="64" w:dllVersion="6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131078" w:nlCheck="1" w:checkStyle="1"/>
  <w:activeWritingStyle w:appName="MSWord" w:lang="en-IE" w:vendorID="64" w:dllVersion="131078" w:nlCheck="1" w:checkStyle="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75ED"/>
    <w:rsid w:val="00001B56"/>
    <w:rsid w:val="00004658"/>
    <w:rsid w:val="000052BA"/>
    <w:rsid w:val="00012926"/>
    <w:rsid w:val="00034A71"/>
    <w:rsid w:val="000554EA"/>
    <w:rsid w:val="0006765E"/>
    <w:rsid w:val="00070A63"/>
    <w:rsid w:val="00073A0D"/>
    <w:rsid w:val="0007619F"/>
    <w:rsid w:val="00081798"/>
    <w:rsid w:val="00091573"/>
    <w:rsid w:val="000A02B4"/>
    <w:rsid w:val="000A55B7"/>
    <w:rsid w:val="000A5CDA"/>
    <w:rsid w:val="000C6838"/>
    <w:rsid w:val="000D0051"/>
    <w:rsid w:val="0010583E"/>
    <w:rsid w:val="0010741C"/>
    <w:rsid w:val="001109DA"/>
    <w:rsid w:val="001524C8"/>
    <w:rsid w:val="0016107F"/>
    <w:rsid w:val="00173F82"/>
    <w:rsid w:val="00176865"/>
    <w:rsid w:val="00195B11"/>
    <w:rsid w:val="001A367C"/>
    <w:rsid w:val="001A3B88"/>
    <w:rsid w:val="001A4420"/>
    <w:rsid w:val="001B59D6"/>
    <w:rsid w:val="001B7D1B"/>
    <w:rsid w:val="001C0B8B"/>
    <w:rsid w:val="001C1497"/>
    <w:rsid w:val="001C6CC1"/>
    <w:rsid w:val="001D2575"/>
    <w:rsid w:val="001E0B5E"/>
    <w:rsid w:val="001E2B2B"/>
    <w:rsid w:val="001E30C2"/>
    <w:rsid w:val="001F6B50"/>
    <w:rsid w:val="00201B26"/>
    <w:rsid w:val="002070F4"/>
    <w:rsid w:val="00224D00"/>
    <w:rsid w:val="00226FA1"/>
    <w:rsid w:val="0022774D"/>
    <w:rsid w:val="002610A6"/>
    <w:rsid w:val="00262299"/>
    <w:rsid w:val="002752AC"/>
    <w:rsid w:val="002760A4"/>
    <w:rsid w:val="00280D12"/>
    <w:rsid w:val="00286904"/>
    <w:rsid w:val="00287B3D"/>
    <w:rsid w:val="00296770"/>
    <w:rsid w:val="002A1442"/>
    <w:rsid w:val="002C79B0"/>
    <w:rsid w:val="002D2CBC"/>
    <w:rsid w:val="002E09F9"/>
    <w:rsid w:val="002E0D58"/>
    <w:rsid w:val="002E1140"/>
    <w:rsid w:val="002E212A"/>
    <w:rsid w:val="002E2F6A"/>
    <w:rsid w:val="002E3B71"/>
    <w:rsid w:val="002E6153"/>
    <w:rsid w:val="003006E1"/>
    <w:rsid w:val="0031014F"/>
    <w:rsid w:val="003153C2"/>
    <w:rsid w:val="00317412"/>
    <w:rsid w:val="00324484"/>
    <w:rsid w:val="00335080"/>
    <w:rsid w:val="00336627"/>
    <w:rsid w:val="00336A87"/>
    <w:rsid w:val="00340E24"/>
    <w:rsid w:val="00341C68"/>
    <w:rsid w:val="0035629F"/>
    <w:rsid w:val="00361A0A"/>
    <w:rsid w:val="00362959"/>
    <w:rsid w:val="0036793A"/>
    <w:rsid w:val="00384378"/>
    <w:rsid w:val="00384D19"/>
    <w:rsid w:val="00386E13"/>
    <w:rsid w:val="003B223E"/>
    <w:rsid w:val="003B57C7"/>
    <w:rsid w:val="003C2890"/>
    <w:rsid w:val="003C46FA"/>
    <w:rsid w:val="003C6044"/>
    <w:rsid w:val="003D36AC"/>
    <w:rsid w:val="003D6172"/>
    <w:rsid w:val="003D635C"/>
    <w:rsid w:val="003E6EF1"/>
    <w:rsid w:val="003F1EB0"/>
    <w:rsid w:val="003F21FF"/>
    <w:rsid w:val="003F511A"/>
    <w:rsid w:val="00410DAF"/>
    <w:rsid w:val="00414A55"/>
    <w:rsid w:val="00416C35"/>
    <w:rsid w:val="00416C88"/>
    <w:rsid w:val="00421916"/>
    <w:rsid w:val="0042776B"/>
    <w:rsid w:val="00432631"/>
    <w:rsid w:val="0044073B"/>
    <w:rsid w:val="00441D3C"/>
    <w:rsid w:val="004476DB"/>
    <w:rsid w:val="004560A2"/>
    <w:rsid w:val="00456640"/>
    <w:rsid w:val="00472073"/>
    <w:rsid w:val="00472CC6"/>
    <w:rsid w:val="00483167"/>
    <w:rsid w:val="004A6443"/>
    <w:rsid w:val="004B5C84"/>
    <w:rsid w:val="004C0C8C"/>
    <w:rsid w:val="004C558C"/>
    <w:rsid w:val="004C5FA0"/>
    <w:rsid w:val="004C69FD"/>
    <w:rsid w:val="004C7E82"/>
    <w:rsid w:val="004D51F6"/>
    <w:rsid w:val="004E3602"/>
    <w:rsid w:val="004E4F23"/>
    <w:rsid w:val="004E6658"/>
    <w:rsid w:val="004E746E"/>
    <w:rsid w:val="00500157"/>
    <w:rsid w:val="005044DE"/>
    <w:rsid w:val="00514D67"/>
    <w:rsid w:val="005235BE"/>
    <w:rsid w:val="0052725B"/>
    <w:rsid w:val="00530BEB"/>
    <w:rsid w:val="00540D86"/>
    <w:rsid w:val="00545CDD"/>
    <w:rsid w:val="00547FA6"/>
    <w:rsid w:val="00551F58"/>
    <w:rsid w:val="005556C0"/>
    <w:rsid w:val="005565E9"/>
    <w:rsid w:val="00567A6B"/>
    <w:rsid w:val="0058038E"/>
    <w:rsid w:val="00580F3F"/>
    <w:rsid w:val="0058564B"/>
    <w:rsid w:val="005972D1"/>
    <w:rsid w:val="005A4D84"/>
    <w:rsid w:val="005A4E82"/>
    <w:rsid w:val="005A5613"/>
    <w:rsid w:val="005A5ED0"/>
    <w:rsid w:val="005A7C69"/>
    <w:rsid w:val="005C29BA"/>
    <w:rsid w:val="005D2319"/>
    <w:rsid w:val="005D2C2B"/>
    <w:rsid w:val="005D5368"/>
    <w:rsid w:val="005D7564"/>
    <w:rsid w:val="005E4DC0"/>
    <w:rsid w:val="005F28AD"/>
    <w:rsid w:val="005F5676"/>
    <w:rsid w:val="005F568E"/>
    <w:rsid w:val="005F5B5B"/>
    <w:rsid w:val="005F7A08"/>
    <w:rsid w:val="00604AD5"/>
    <w:rsid w:val="00605A62"/>
    <w:rsid w:val="00612BCA"/>
    <w:rsid w:val="00625684"/>
    <w:rsid w:val="00625962"/>
    <w:rsid w:val="00631F00"/>
    <w:rsid w:val="00633AB8"/>
    <w:rsid w:val="006416C7"/>
    <w:rsid w:val="00641A8E"/>
    <w:rsid w:val="006469A4"/>
    <w:rsid w:val="00653162"/>
    <w:rsid w:val="00666F59"/>
    <w:rsid w:val="00672243"/>
    <w:rsid w:val="00674C78"/>
    <w:rsid w:val="00686F18"/>
    <w:rsid w:val="00687283"/>
    <w:rsid w:val="00691FAE"/>
    <w:rsid w:val="0069209E"/>
    <w:rsid w:val="006A49FD"/>
    <w:rsid w:val="006C7B09"/>
    <w:rsid w:val="006D03A3"/>
    <w:rsid w:val="006D1DB3"/>
    <w:rsid w:val="006D6597"/>
    <w:rsid w:val="006E289C"/>
    <w:rsid w:val="006F1BE2"/>
    <w:rsid w:val="006F4250"/>
    <w:rsid w:val="00700BBA"/>
    <w:rsid w:val="00706DC2"/>
    <w:rsid w:val="00715516"/>
    <w:rsid w:val="00720FCE"/>
    <w:rsid w:val="00721264"/>
    <w:rsid w:val="007248F0"/>
    <w:rsid w:val="00726F7D"/>
    <w:rsid w:val="007313B3"/>
    <w:rsid w:val="00733A3C"/>
    <w:rsid w:val="007441D6"/>
    <w:rsid w:val="00744800"/>
    <w:rsid w:val="0075082B"/>
    <w:rsid w:val="00756E52"/>
    <w:rsid w:val="0076015D"/>
    <w:rsid w:val="007865BD"/>
    <w:rsid w:val="007901EE"/>
    <w:rsid w:val="00792FB1"/>
    <w:rsid w:val="00797A3F"/>
    <w:rsid w:val="007A72A1"/>
    <w:rsid w:val="007B264D"/>
    <w:rsid w:val="007B3628"/>
    <w:rsid w:val="007B6A0C"/>
    <w:rsid w:val="007D1365"/>
    <w:rsid w:val="007D6A0C"/>
    <w:rsid w:val="007E1F25"/>
    <w:rsid w:val="007E3D31"/>
    <w:rsid w:val="007E3D5E"/>
    <w:rsid w:val="007E5577"/>
    <w:rsid w:val="007F14A6"/>
    <w:rsid w:val="00805A14"/>
    <w:rsid w:val="00820C1C"/>
    <w:rsid w:val="00822E12"/>
    <w:rsid w:val="008267EE"/>
    <w:rsid w:val="00831D74"/>
    <w:rsid w:val="00840512"/>
    <w:rsid w:val="0085300F"/>
    <w:rsid w:val="00856101"/>
    <w:rsid w:val="008650F9"/>
    <w:rsid w:val="008775ED"/>
    <w:rsid w:val="00880E03"/>
    <w:rsid w:val="00895740"/>
    <w:rsid w:val="008A2646"/>
    <w:rsid w:val="008A3384"/>
    <w:rsid w:val="008A673F"/>
    <w:rsid w:val="008A6D5C"/>
    <w:rsid w:val="008D3F3B"/>
    <w:rsid w:val="008D7FD3"/>
    <w:rsid w:val="008E41C5"/>
    <w:rsid w:val="008F0466"/>
    <w:rsid w:val="008F12BF"/>
    <w:rsid w:val="008F563A"/>
    <w:rsid w:val="00906365"/>
    <w:rsid w:val="00915A23"/>
    <w:rsid w:val="00921B49"/>
    <w:rsid w:val="00926D17"/>
    <w:rsid w:val="0093531F"/>
    <w:rsid w:val="00963341"/>
    <w:rsid w:val="009731F0"/>
    <w:rsid w:val="0097526E"/>
    <w:rsid w:val="009842A5"/>
    <w:rsid w:val="0099402A"/>
    <w:rsid w:val="009A3837"/>
    <w:rsid w:val="009A46B3"/>
    <w:rsid w:val="009B0832"/>
    <w:rsid w:val="009B75D6"/>
    <w:rsid w:val="009D1720"/>
    <w:rsid w:val="009E19F8"/>
    <w:rsid w:val="009F7AA4"/>
    <w:rsid w:val="00A009AD"/>
    <w:rsid w:val="00A01C05"/>
    <w:rsid w:val="00A05FB2"/>
    <w:rsid w:val="00A12A1B"/>
    <w:rsid w:val="00A37A29"/>
    <w:rsid w:val="00A419B4"/>
    <w:rsid w:val="00A55EF5"/>
    <w:rsid w:val="00A73B2E"/>
    <w:rsid w:val="00A747A9"/>
    <w:rsid w:val="00A8028F"/>
    <w:rsid w:val="00A83CF1"/>
    <w:rsid w:val="00AA2301"/>
    <w:rsid w:val="00AB1DBB"/>
    <w:rsid w:val="00AB29F7"/>
    <w:rsid w:val="00AB733D"/>
    <w:rsid w:val="00AC1D27"/>
    <w:rsid w:val="00AD7632"/>
    <w:rsid w:val="00AE321C"/>
    <w:rsid w:val="00AE5681"/>
    <w:rsid w:val="00AE7605"/>
    <w:rsid w:val="00AF5F55"/>
    <w:rsid w:val="00B12AB0"/>
    <w:rsid w:val="00B13720"/>
    <w:rsid w:val="00B14BE7"/>
    <w:rsid w:val="00B20D75"/>
    <w:rsid w:val="00B20F51"/>
    <w:rsid w:val="00B337D4"/>
    <w:rsid w:val="00B33DEF"/>
    <w:rsid w:val="00B419F6"/>
    <w:rsid w:val="00B47190"/>
    <w:rsid w:val="00B63618"/>
    <w:rsid w:val="00B64ABA"/>
    <w:rsid w:val="00B6656F"/>
    <w:rsid w:val="00B746EB"/>
    <w:rsid w:val="00B756D6"/>
    <w:rsid w:val="00B87898"/>
    <w:rsid w:val="00B901D1"/>
    <w:rsid w:val="00B9514D"/>
    <w:rsid w:val="00B95A30"/>
    <w:rsid w:val="00BA40CE"/>
    <w:rsid w:val="00BA43B1"/>
    <w:rsid w:val="00BA61A8"/>
    <w:rsid w:val="00BC487A"/>
    <w:rsid w:val="00BD3643"/>
    <w:rsid w:val="00BE34BF"/>
    <w:rsid w:val="00BF3882"/>
    <w:rsid w:val="00C020A1"/>
    <w:rsid w:val="00C073E2"/>
    <w:rsid w:val="00C1276B"/>
    <w:rsid w:val="00C26B86"/>
    <w:rsid w:val="00C453A0"/>
    <w:rsid w:val="00C54390"/>
    <w:rsid w:val="00C72244"/>
    <w:rsid w:val="00C72A34"/>
    <w:rsid w:val="00C821E7"/>
    <w:rsid w:val="00C85F91"/>
    <w:rsid w:val="00C86850"/>
    <w:rsid w:val="00CA16E9"/>
    <w:rsid w:val="00CD3DBB"/>
    <w:rsid w:val="00CD56C9"/>
    <w:rsid w:val="00CF2375"/>
    <w:rsid w:val="00D116C5"/>
    <w:rsid w:val="00D21DC9"/>
    <w:rsid w:val="00D2248B"/>
    <w:rsid w:val="00D35D21"/>
    <w:rsid w:val="00D37EB2"/>
    <w:rsid w:val="00D42291"/>
    <w:rsid w:val="00D47963"/>
    <w:rsid w:val="00D479B8"/>
    <w:rsid w:val="00D678AA"/>
    <w:rsid w:val="00D8058A"/>
    <w:rsid w:val="00D8790B"/>
    <w:rsid w:val="00D97FB2"/>
    <w:rsid w:val="00DA595F"/>
    <w:rsid w:val="00DB462B"/>
    <w:rsid w:val="00DD0BF2"/>
    <w:rsid w:val="00E0067E"/>
    <w:rsid w:val="00E00A6A"/>
    <w:rsid w:val="00E062C9"/>
    <w:rsid w:val="00E11755"/>
    <w:rsid w:val="00E13506"/>
    <w:rsid w:val="00E2407C"/>
    <w:rsid w:val="00E2507B"/>
    <w:rsid w:val="00E31115"/>
    <w:rsid w:val="00E32DE7"/>
    <w:rsid w:val="00E43270"/>
    <w:rsid w:val="00E518AC"/>
    <w:rsid w:val="00E670B5"/>
    <w:rsid w:val="00E731D4"/>
    <w:rsid w:val="00E875F0"/>
    <w:rsid w:val="00E97828"/>
    <w:rsid w:val="00EC1C68"/>
    <w:rsid w:val="00EC2A4F"/>
    <w:rsid w:val="00EC69DE"/>
    <w:rsid w:val="00ED62E6"/>
    <w:rsid w:val="00ED6625"/>
    <w:rsid w:val="00EE0CC1"/>
    <w:rsid w:val="00EE5362"/>
    <w:rsid w:val="00EF1861"/>
    <w:rsid w:val="00EF71F8"/>
    <w:rsid w:val="00F07256"/>
    <w:rsid w:val="00F314C5"/>
    <w:rsid w:val="00F32202"/>
    <w:rsid w:val="00F35585"/>
    <w:rsid w:val="00F40BD1"/>
    <w:rsid w:val="00F53345"/>
    <w:rsid w:val="00F769B3"/>
    <w:rsid w:val="00F82F78"/>
    <w:rsid w:val="00F848A6"/>
    <w:rsid w:val="00F85776"/>
    <w:rsid w:val="00F8601B"/>
    <w:rsid w:val="00F91666"/>
    <w:rsid w:val="00F94A72"/>
    <w:rsid w:val="00FA1A1D"/>
    <w:rsid w:val="00FB65B7"/>
    <w:rsid w:val="00FC0759"/>
    <w:rsid w:val="00FC5CBD"/>
    <w:rsid w:val="00FD02DA"/>
    <w:rsid w:val="00FE797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6E6DFD-AE0B-4F09-B35C-EC8FB89A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75"/>
  </w:style>
  <w:style w:type="paragraph" w:styleId="Heading1">
    <w:name w:val="heading 1"/>
    <w:basedOn w:val="Normal"/>
    <w:next w:val="Normal"/>
    <w:link w:val="Heading1Char"/>
    <w:uiPriority w:val="9"/>
    <w:qFormat/>
    <w:rsid w:val="008775ED"/>
    <w:pPr>
      <w:keepNext/>
      <w:keepLines/>
      <w:numPr>
        <w:numId w:val="2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5ED"/>
    <w:pPr>
      <w:keepNext/>
      <w:keepLines/>
      <w:numPr>
        <w:ilvl w:val="1"/>
        <w:numId w:val="2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5ED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5ED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5ED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5ED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5ED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5ED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5ED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E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775E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5E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5E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5E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5E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5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5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5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75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75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5E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5E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775E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775E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775ED"/>
    <w:rPr>
      <w:i/>
      <w:iCs/>
      <w:color w:val="auto"/>
    </w:rPr>
  </w:style>
  <w:style w:type="paragraph" w:styleId="NoSpacing">
    <w:name w:val="No Spacing"/>
    <w:uiPriority w:val="1"/>
    <w:qFormat/>
    <w:rsid w:val="008775E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75E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75E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5E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5E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775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775E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775E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775E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775E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775ED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7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5ED"/>
    <w:rPr>
      <w:sz w:val="20"/>
      <w:szCs w:val="20"/>
    </w:rPr>
  </w:style>
  <w:style w:type="table" w:styleId="TableGrid">
    <w:name w:val="Table Grid"/>
    <w:basedOn w:val="TableNormal"/>
    <w:uiPriority w:val="39"/>
    <w:rsid w:val="008775E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8775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75E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775E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775E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5ED"/>
    <w:pPr>
      <w:ind w:left="720"/>
      <w:contextualSpacing/>
    </w:pPr>
    <w:rPr>
      <w:rFonts w:eastAsia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8775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75ED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C543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DB"/>
  </w:style>
  <w:style w:type="paragraph" w:styleId="Footer">
    <w:name w:val="footer"/>
    <w:basedOn w:val="Normal"/>
    <w:link w:val="FooterChar"/>
    <w:uiPriority w:val="99"/>
    <w:unhideWhenUsed/>
    <w:rsid w:val="0044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DB"/>
  </w:style>
  <w:style w:type="character" w:styleId="CommentReference">
    <w:name w:val="annotation reference"/>
    <w:basedOn w:val="DefaultParagraphFont"/>
    <w:uiPriority w:val="99"/>
    <w:semiHidden/>
    <w:unhideWhenUsed/>
    <w:rsid w:val="00B20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A0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F1B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1B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1BE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0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07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t.gov.rs/media/2332/general-revision-policy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documents/3859598/9530664/KS-GQ-18-012-EN-N.pdf" TargetMode="External"/><Relationship Id="rId1" Type="http://schemas.openxmlformats.org/officeDocument/2006/relationships/hyperlink" Target="https://www.cmfb.org/main-topics/revision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3963-CB97-402A-91F2-DAE5701F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9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PALIBRK Marijana (ESTAT)</dc:creator>
  <cp:keywords/>
  <dc:description/>
  <cp:lastModifiedBy>Irena Dimic</cp:lastModifiedBy>
  <cp:revision>76</cp:revision>
  <cp:lastPrinted>2023-04-04T11:02:00Z</cp:lastPrinted>
  <dcterms:created xsi:type="dcterms:W3CDTF">2022-05-09T08:06:00Z</dcterms:created>
  <dcterms:modified xsi:type="dcterms:W3CDTF">2023-04-05T05:29:00Z</dcterms:modified>
</cp:coreProperties>
</file>