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524BA1" w:rsidRPr="00524BA1" w:rsidTr="00FD2BA1">
        <w:trPr>
          <w:cantSplit/>
          <w:trHeight w:val="450"/>
        </w:trPr>
        <w:tc>
          <w:tcPr>
            <w:tcW w:w="4253" w:type="dxa"/>
            <w:vAlign w:val="center"/>
          </w:tcPr>
          <w:p w:rsidR="005746AB" w:rsidRPr="00524BA1" w:rsidRDefault="005746AB" w:rsidP="00FD2BA1">
            <w:pPr>
              <w:pStyle w:val="Header"/>
              <w:tabs>
                <w:tab w:val="center" w:pos="4820"/>
              </w:tabs>
              <w:jc w:val="center"/>
              <w:rPr>
                <w:b/>
                <w:color w:val="auto"/>
                <w:spacing w:val="130"/>
                <w:sz w:val="22"/>
                <w:szCs w:val="22"/>
              </w:rPr>
            </w:pPr>
            <w:r w:rsidRPr="00524BA1">
              <w:rPr>
                <w:noProof/>
                <w:color w:val="auto"/>
                <w:sz w:val="22"/>
                <w:szCs w:val="22"/>
                <w:lang w:eastAsia="en-US"/>
              </w:rPr>
              <w:drawing>
                <wp:inline distT="0" distB="0" distL="0" distR="0">
                  <wp:extent cx="428625" cy="704850"/>
                  <wp:effectExtent l="0" t="0" r="0" b="0"/>
                  <wp:docPr id="2" name="Picture 1" descr="g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6AB" w:rsidRPr="00524BA1" w:rsidRDefault="005746AB" w:rsidP="00FD2BA1">
            <w:pPr>
              <w:pStyle w:val="Header"/>
              <w:tabs>
                <w:tab w:val="center" w:pos="4820"/>
              </w:tabs>
              <w:jc w:val="center"/>
              <w:rPr>
                <w:b/>
                <w:color w:val="auto"/>
                <w:spacing w:val="130"/>
                <w:sz w:val="22"/>
                <w:szCs w:val="22"/>
              </w:rPr>
            </w:pPr>
          </w:p>
          <w:p w:rsidR="005746AB" w:rsidRPr="00524BA1" w:rsidRDefault="005746AB" w:rsidP="00FD2BA1">
            <w:pPr>
              <w:pStyle w:val="BodyText"/>
              <w:jc w:val="center"/>
              <w:rPr>
                <w:color w:val="auto"/>
                <w:szCs w:val="22"/>
              </w:rPr>
            </w:pPr>
            <w:r w:rsidRPr="00524BA1">
              <w:rPr>
                <w:color w:val="auto"/>
                <w:szCs w:val="22"/>
              </w:rPr>
              <w:t>Република Србија</w:t>
            </w:r>
          </w:p>
          <w:p w:rsidR="005746AB" w:rsidRPr="00524BA1" w:rsidRDefault="005746AB" w:rsidP="00FD2BA1">
            <w:pPr>
              <w:pStyle w:val="BodyText"/>
              <w:jc w:val="center"/>
              <w:rPr>
                <w:b/>
                <w:color w:val="auto"/>
                <w:szCs w:val="22"/>
                <w:lang w:val="ru-RU"/>
              </w:rPr>
            </w:pPr>
            <w:r w:rsidRPr="00524BA1">
              <w:rPr>
                <w:b/>
                <w:color w:val="auto"/>
                <w:szCs w:val="22"/>
                <w:lang w:val="ru-RU"/>
              </w:rPr>
              <w:t>РЕПУБЛИЧКИ ЗАВОД ЗА СТАТИСТИКУ</w:t>
            </w:r>
          </w:p>
          <w:p w:rsidR="005746AB" w:rsidRPr="00524BA1" w:rsidRDefault="005746AB" w:rsidP="00FD2BA1">
            <w:pPr>
              <w:pStyle w:val="BodyText"/>
              <w:rPr>
                <w:color w:val="auto"/>
                <w:szCs w:val="22"/>
              </w:rPr>
            </w:pPr>
            <w:r w:rsidRPr="00524BA1">
              <w:rPr>
                <w:color w:val="auto"/>
                <w:szCs w:val="22"/>
                <w:lang w:val="sr-Cyrl-CS"/>
              </w:rPr>
              <w:t xml:space="preserve">           06</w:t>
            </w:r>
            <w:r w:rsidRPr="00524BA1">
              <w:rPr>
                <w:color w:val="auto"/>
                <w:szCs w:val="22"/>
              </w:rPr>
              <w:t xml:space="preserve"> </w:t>
            </w:r>
            <w:r w:rsidRPr="00524BA1">
              <w:rPr>
                <w:color w:val="auto"/>
                <w:szCs w:val="22"/>
                <w:lang w:val="sr-Cyrl-CS"/>
              </w:rPr>
              <w:t>Број:</w:t>
            </w:r>
            <w:r w:rsidRPr="00524BA1">
              <w:rPr>
                <w:color w:val="auto"/>
                <w:szCs w:val="22"/>
              </w:rPr>
              <w:t xml:space="preserve"> </w:t>
            </w:r>
            <w:r w:rsidRPr="00524BA1">
              <w:rPr>
                <w:noProof/>
                <w:color w:val="auto"/>
                <w:szCs w:val="22"/>
              </w:rPr>
              <w:t>404-</w:t>
            </w:r>
            <w:r w:rsidR="00B4048D">
              <w:rPr>
                <w:noProof/>
                <w:color w:val="auto"/>
                <w:szCs w:val="22"/>
                <w:lang w:val="sr-Latn-RS"/>
              </w:rPr>
              <w:t>459</w:t>
            </w:r>
            <w:r w:rsidR="00FD2BA1">
              <w:rPr>
                <w:color w:val="auto"/>
                <w:szCs w:val="22"/>
              </w:rPr>
              <w:t>/5</w:t>
            </w:r>
          </w:p>
          <w:p w:rsidR="005746AB" w:rsidRPr="00524BA1" w:rsidRDefault="005746AB" w:rsidP="00FD2BA1">
            <w:pPr>
              <w:pStyle w:val="BodyText"/>
              <w:rPr>
                <w:color w:val="auto"/>
                <w:szCs w:val="22"/>
                <w:lang w:val="sr-Cyrl-CS"/>
              </w:rPr>
            </w:pPr>
            <w:r w:rsidRPr="00524BA1">
              <w:rPr>
                <w:color w:val="auto"/>
                <w:szCs w:val="22"/>
                <w:lang w:val="sr-Cyrl-CS"/>
              </w:rPr>
              <w:t xml:space="preserve">                Датум:</w:t>
            </w:r>
            <w:r w:rsidRPr="00524BA1">
              <w:rPr>
                <w:color w:val="auto"/>
                <w:szCs w:val="22"/>
              </w:rPr>
              <w:t xml:space="preserve"> </w:t>
            </w:r>
            <w:r w:rsidR="00B4048D">
              <w:rPr>
                <w:noProof/>
                <w:color w:val="auto"/>
                <w:szCs w:val="22"/>
                <w:lang w:val="sr-Latn-RS"/>
              </w:rPr>
              <w:t>07.07</w:t>
            </w:r>
            <w:r w:rsidR="00D10D5E" w:rsidRPr="00524BA1">
              <w:rPr>
                <w:noProof/>
                <w:color w:val="auto"/>
                <w:szCs w:val="22"/>
                <w:lang w:val="sr-Cyrl-RS"/>
              </w:rPr>
              <w:t>.20</w:t>
            </w:r>
            <w:r w:rsidR="00C1116D" w:rsidRPr="00524BA1">
              <w:rPr>
                <w:noProof/>
                <w:color w:val="auto"/>
                <w:szCs w:val="22"/>
                <w:lang w:val="sr-Latn-RS"/>
              </w:rPr>
              <w:t>20</w:t>
            </w:r>
            <w:r w:rsidR="00D10D5E" w:rsidRPr="00524BA1">
              <w:rPr>
                <w:noProof/>
                <w:color w:val="auto"/>
                <w:szCs w:val="22"/>
                <w:lang w:val="sr-Cyrl-RS"/>
              </w:rPr>
              <w:t>.</w:t>
            </w:r>
          </w:p>
          <w:p w:rsidR="005746AB" w:rsidRPr="00524BA1" w:rsidRDefault="005746AB" w:rsidP="00FD2BA1">
            <w:pPr>
              <w:pStyle w:val="BodyText"/>
              <w:jc w:val="center"/>
              <w:rPr>
                <w:color w:val="auto"/>
                <w:sz w:val="22"/>
                <w:szCs w:val="22"/>
                <w:lang w:val="sr-Cyrl-CS"/>
              </w:rPr>
            </w:pPr>
            <w:r w:rsidRPr="00524BA1">
              <w:rPr>
                <w:bCs/>
                <w:color w:val="auto"/>
                <w:spacing w:val="130"/>
                <w:szCs w:val="22"/>
                <w:lang w:val="sr-Cyrl-CS"/>
              </w:rPr>
              <w:t>Београд</w:t>
            </w:r>
          </w:p>
        </w:tc>
      </w:tr>
    </w:tbl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5746AB" w:rsidRPr="00524BA1" w:rsidRDefault="005746AB">
      <w:pPr>
        <w:rPr>
          <w:color w:val="auto"/>
        </w:rPr>
      </w:pPr>
    </w:p>
    <w:p w:rsidR="000E1D69" w:rsidRDefault="000E1D69">
      <w:pPr>
        <w:rPr>
          <w:color w:val="auto"/>
        </w:rPr>
      </w:pPr>
    </w:p>
    <w:p w:rsidR="000E1D69" w:rsidRDefault="00FD2BA1" w:rsidP="00FD2BA1">
      <w:pPr>
        <w:jc w:val="both"/>
        <w:rPr>
          <w:color w:val="auto"/>
        </w:rPr>
      </w:pPr>
      <w:r>
        <w:rPr>
          <w:color w:val="auto"/>
          <w:lang w:val="sr-Cyrl-RS"/>
        </w:rPr>
        <w:t>Републички завод за статистику н</w:t>
      </w:r>
      <w:r>
        <w:rPr>
          <w:color w:val="auto"/>
        </w:rPr>
        <w:t xml:space="preserve">а основу члана 63. став 2, 3 </w:t>
      </w:r>
      <w:r>
        <w:rPr>
          <w:color w:val="auto"/>
          <w:lang w:val="sr-Cyrl-RS"/>
        </w:rPr>
        <w:t>и 4.</w:t>
      </w:r>
      <w:r w:rsidRPr="00FD2BA1">
        <w:rPr>
          <w:color w:val="auto"/>
        </w:rPr>
        <w:t xml:space="preserve"> Закона о јавним набавкама </w:t>
      </w:r>
      <w:r>
        <w:rPr>
          <w:color w:val="auto"/>
        </w:rPr>
        <w:t>(„Сл. Гласник РС“ број 124/2012, 14/2015 и 68/2015, у даљем</w:t>
      </w:r>
      <w:r>
        <w:rPr>
          <w:color w:val="auto"/>
          <w:lang w:val="sr-Cyrl-RS"/>
        </w:rPr>
        <w:t xml:space="preserve"> </w:t>
      </w:r>
      <w:r w:rsidRPr="00FD2BA1">
        <w:rPr>
          <w:color w:val="auto"/>
        </w:rPr>
        <w:t>тексту: Закон), као Наручилац даје:</w:t>
      </w:r>
    </w:p>
    <w:p w:rsidR="00FD2BA1" w:rsidRDefault="00FD2BA1" w:rsidP="00FD2BA1">
      <w:pPr>
        <w:jc w:val="both"/>
        <w:rPr>
          <w:color w:val="auto"/>
        </w:rPr>
      </w:pPr>
    </w:p>
    <w:p w:rsidR="00FD2BA1" w:rsidRPr="00FD2BA1" w:rsidRDefault="00FD2BA1" w:rsidP="00FD2BA1">
      <w:pPr>
        <w:jc w:val="center"/>
        <w:rPr>
          <w:b/>
          <w:color w:val="auto"/>
        </w:rPr>
      </w:pPr>
      <w:r w:rsidRPr="00FD2BA1">
        <w:rPr>
          <w:b/>
          <w:color w:val="auto"/>
        </w:rPr>
        <w:t>ОДГОВОР НА ПОСТАВЉЕНА ПИТАЊА ПОНУЂАЧА</w:t>
      </w:r>
    </w:p>
    <w:p w:rsidR="00FD2BA1" w:rsidRPr="00FD2BA1" w:rsidRDefault="00FD2BA1" w:rsidP="00FD2BA1">
      <w:pPr>
        <w:jc w:val="center"/>
        <w:rPr>
          <w:b/>
          <w:color w:val="auto"/>
        </w:rPr>
      </w:pPr>
      <w:r w:rsidRPr="00FD2BA1">
        <w:rPr>
          <w:b/>
          <w:color w:val="auto"/>
        </w:rPr>
        <w:t>ЗА ЈАВНУ НАБАВКУ МАЛЕ ВРЕДНОСТИ</w:t>
      </w:r>
    </w:p>
    <w:p w:rsidR="000E1D69" w:rsidRDefault="00FD2BA1" w:rsidP="00FD2BA1">
      <w:pPr>
        <w:jc w:val="center"/>
        <w:rPr>
          <w:b/>
          <w:color w:val="auto"/>
        </w:rPr>
      </w:pPr>
      <w:r>
        <w:rPr>
          <w:b/>
          <w:color w:val="auto"/>
          <w:lang w:val="sr-Cyrl-RS"/>
        </w:rPr>
        <w:t>0</w:t>
      </w:r>
      <w:r w:rsidR="00B4048D">
        <w:rPr>
          <w:b/>
          <w:color w:val="auto"/>
          <w:lang w:val="sr-Latn-RS"/>
        </w:rPr>
        <w:t>22</w:t>
      </w:r>
      <w:r w:rsidRPr="00FD2BA1">
        <w:rPr>
          <w:b/>
          <w:color w:val="auto"/>
        </w:rPr>
        <w:t>/20</w:t>
      </w:r>
      <w:r>
        <w:rPr>
          <w:b/>
          <w:color w:val="auto"/>
          <w:lang w:val="sr-Cyrl-RS"/>
        </w:rPr>
        <w:t>20</w:t>
      </w:r>
      <w:r w:rsidRPr="00FD2BA1">
        <w:rPr>
          <w:b/>
          <w:color w:val="auto"/>
        </w:rPr>
        <w:t xml:space="preserve"> – НАБАВКА </w:t>
      </w:r>
      <w:r w:rsidR="00B4048D" w:rsidRPr="00FD2BA1">
        <w:rPr>
          <w:b/>
          <w:color w:val="auto"/>
        </w:rPr>
        <w:t xml:space="preserve">УСЛУГА </w:t>
      </w:r>
      <w:r w:rsidR="00B4048D" w:rsidRPr="00B4048D">
        <w:rPr>
          <w:b/>
          <w:color w:val="auto"/>
        </w:rPr>
        <w:t>СЕРВИСИРАЊЕ МОТОРНИХ ВОЗИЛА</w:t>
      </w:r>
    </w:p>
    <w:p w:rsidR="00FD2BA1" w:rsidRDefault="00FD2BA1" w:rsidP="00FD2BA1">
      <w:pPr>
        <w:rPr>
          <w:b/>
          <w:color w:val="auto"/>
        </w:rPr>
      </w:pPr>
    </w:p>
    <w:p w:rsidR="008D4407" w:rsidRDefault="008D4407" w:rsidP="00FD2BA1">
      <w:pPr>
        <w:jc w:val="both"/>
        <w:rPr>
          <w:b/>
          <w:color w:val="auto"/>
          <w:lang w:val="sr-Cyrl-RS"/>
        </w:rPr>
      </w:pPr>
    </w:p>
    <w:p w:rsidR="00B4048D" w:rsidRPr="00B4048D" w:rsidRDefault="008D4407" w:rsidP="00B4048D">
      <w:pPr>
        <w:jc w:val="both"/>
        <w:rPr>
          <w:color w:val="auto"/>
          <w:lang w:val="sr-Cyrl-RS"/>
        </w:rPr>
      </w:pPr>
      <w:r>
        <w:rPr>
          <w:b/>
          <w:color w:val="auto"/>
          <w:lang w:val="sr-Cyrl-RS"/>
        </w:rPr>
        <w:t xml:space="preserve">Питање 1: </w:t>
      </w:r>
      <w:r w:rsidR="00B4048D" w:rsidRPr="00B4048D">
        <w:rPr>
          <w:color w:val="auto"/>
          <w:lang w:val="sr-Cyrl-RS"/>
        </w:rPr>
        <w:t>У конкурсној документацији (стр. 8/37</w:t>
      </w:r>
      <w:r w:rsidR="00B4048D">
        <w:rPr>
          <w:color w:val="auto"/>
          <w:lang w:val="sr-Cyrl-RS"/>
        </w:rPr>
        <w:t>) навели сте захтеве за</w:t>
      </w:r>
      <w:r w:rsidR="00B4048D">
        <w:rPr>
          <w:color w:val="auto"/>
          <w:lang w:val="sr-Latn-RS"/>
        </w:rPr>
        <w:t xml:space="preserve"> </w:t>
      </w:r>
      <w:r w:rsidR="00B4048D" w:rsidRPr="00B4048D">
        <w:rPr>
          <w:color w:val="auto"/>
          <w:lang w:val="sr-Cyrl-RS"/>
        </w:rPr>
        <w:t>Кадровски капацитет, да Понуђач мора да има најмање:</w:t>
      </w:r>
    </w:p>
    <w:p w:rsidR="00B4048D" w:rsidRPr="00B4048D" w:rsidRDefault="00B4048D" w:rsidP="00B4048D">
      <w:pPr>
        <w:jc w:val="both"/>
        <w:rPr>
          <w:color w:val="auto"/>
          <w:lang w:val="sr-Cyrl-RS"/>
        </w:rPr>
      </w:pPr>
      <w:r w:rsidRPr="00B4048D">
        <w:rPr>
          <w:color w:val="auto"/>
          <w:lang w:val="sr-Cyrl-RS"/>
        </w:rPr>
        <w:t>2.1</w:t>
      </w:r>
      <w:r w:rsidRPr="00B4048D">
        <w:rPr>
          <w:color w:val="auto"/>
          <w:lang w:val="sr-Cyrl-RS"/>
        </w:rPr>
        <w:tab/>
        <w:t>Четири аутомеханичара (минимум трогодишња средња стручна спрема), од којих најмање један поседује сертификат за дијагностицирање електронике</w:t>
      </w:r>
    </w:p>
    <w:p w:rsidR="00B4048D" w:rsidRPr="00B4048D" w:rsidRDefault="00B4048D" w:rsidP="00B4048D">
      <w:pPr>
        <w:jc w:val="both"/>
        <w:rPr>
          <w:color w:val="auto"/>
          <w:lang w:val="sr-Cyrl-RS"/>
        </w:rPr>
      </w:pPr>
      <w:r w:rsidRPr="00B4048D">
        <w:rPr>
          <w:color w:val="auto"/>
          <w:lang w:val="sr-Cyrl-RS"/>
        </w:rPr>
        <w:t>2.2</w:t>
      </w:r>
      <w:r w:rsidRPr="00B4048D">
        <w:rPr>
          <w:color w:val="auto"/>
          <w:lang w:val="sr-Cyrl-RS"/>
        </w:rPr>
        <w:tab/>
        <w:t>Два аутоелектричара (минимум трогодишња средња стручна спрема) од којих најмање један поседује сертификат за дијагностицирање електронике</w:t>
      </w:r>
    </w:p>
    <w:p w:rsidR="00B4048D" w:rsidRPr="00B4048D" w:rsidRDefault="00B4048D" w:rsidP="00B4048D">
      <w:pPr>
        <w:jc w:val="both"/>
        <w:rPr>
          <w:color w:val="auto"/>
          <w:lang w:val="sr-Cyrl-RS"/>
        </w:rPr>
      </w:pPr>
      <w:r w:rsidRPr="00B4048D">
        <w:rPr>
          <w:color w:val="auto"/>
          <w:lang w:val="sr-Cyrl-RS"/>
        </w:rPr>
        <w:t>Да</w:t>
      </w:r>
      <w:r>
        <w:rPr>
          <w:color w:val="auto"/>
          <w:lang w:val="sr-Cyrl-RS"/>
        </w:rPr>
        <w:t xml:space="preserve"> ли сте грешком тражили да </w:t>
      </w:r>
      <w:r w:rsidRPr="00B4048D">
        <w:rPr>
          <w:color w:val="auto"/>
          <w:lang w:val="sr-Cyrl-RS"/>
        </w:rPr>
        <w:t>један аутомеханичар (2.1) и један аутоелектричар (2.2)</w:t>
      </w:r>
    </w:p>
    <w:p w:rsidR="00B4048D" w:rsidRDefault="00B4048D" w:rsidP="00B4048D">
      <w:pPr>
        <w:jc w:val="both"/>
        <w:rPr>
          <w:color w:val="auto"/>
          <w:lang w:val="sr-Cyrl-RS"/>
        </w:rPr>
      </w:pPr>
      <w:r w:rsidRPr="00B4048D">
        <w:rPr>
          <w:color w:val="auto"/>
          <w:lang w:val="sr-Cyrl-RS"/>
        </w:rPr>
        <w:t>морају имати исти сертификат</w:t>
      </w:r>
      <w:r>
        <w:rPr>
          <w:color w:val="auto"/>
          <w:lang w:val="sr-Cyrl-RS"/>
        </w:rPr>
        <w:t xml:space="preserve"> за дијагностицирање екетронике?</w:t>
      </w:r>
      <w:r>
        <w:rPr>
          <w:color w:val="auto"/>
          <w:lang w:val="sr-Latn-RS"/>
        </w:rPr>
        <w:t xml:space="preserve"> </w:t>
      </w:r>
      <w:r w:rsidRPr="00B4048D">
        <w:rPr>
          <w:color w:val="auto"/>
          <w:lang w:val="sr-Cyrl-RS"/>
        </w:rPr>
        <w:t>Сматрамо да је довољно да само један и то било који од наведена два образовна профила запослених треба да поседује наведени сертификат за дијагностицирање електронике, јер је непотребно да два запослена имају исти сертификат.</w:t>
      </w:r>
    </w:p>
    <w:p w:rsidR="00921F18" w:rsidRDefault="00921F18" w:rsidP="00B4048D">
      <w:pPr>
        <w:jc w:val="both"/>
        <w:rPr>
          <w:color w:val="auto"/>
          <w:lang w:val="sr-Cyrl-RS"/>
        </w:rPr>
      </w:pPr>
    </w:p>
    <w:p w:rsidR="00921F18" w:rsidRPr="00921F18" w:rsidRDefault="00921F18" w:rsidP="00B4048D">
      <w:pPr>
        <w:jc w:val="both"/>
        <w:rPr>
          <w:color w:val="auto"/>
          <w:lang w:val="sr-Cyrl-RS"/>
        </w:rPr>
      </w:pPr>
      <w:r w:rsidRPr="00921F18">
        <w:rPr>
          <w:b/>
          <w:color w:val="auto"/>
          <w:lang w:val="sr-Cyrl-RS"/>
        </w:rPr>
        <w:t xml:space="preserve">Одговор 1: </w:t>
      </w:r>
      <w:r>
        <w:rPr>
          <w:color w:val="auto"/>
          <w:lang w:val="sr-Cyrl-RS"/>
        </w:rPr>
        <w:t>Конкурсна документација у овом делу остаје непромењена, није у питању грешка, јер сервис са већим бројем сертификованих радника гарантује већу брзину и ефикасност.</w:t>
      </w:r>
    </w:p>
    <w:p w:rsidR="00732EAA" w:rsidRDefault="00732EAA" w:rsidP="00B4048D">
      <w:pPr>
        <w:jc w:val="both"/>
        <w:rPr>
          <w:color w:val="auto"/>
          <w:lang w:val="sr-Cyrl-RS"/>
        </w:rPr>
      </w:pPr>
    </w:p>
    <w:p w:rsidR="00B4048D" w:rsidRDefault="00B4048D" w:rsidP="00B4048D">
      <w:pPr>
        <w:jc w:val="both"/>
        <w:rPr>
          <w:color w:val="auto"/>
          <w:lang w:val="sr-Cyrl-RS"/>
        </w:rPr>
      </w:pPr>
    </w:p>
    <w:p w:rsidR="00B4048D" w:rsidRPr="00B4048D" w:rsidRDefault="00B4048D" w:rsidP="00B4048D">
      <w:pPr>
        <w:jc w:val="both"/>
        <w:rPr>
          <w:color w:val="auto"/>
          <w:lang w:val="sr-Cyrl-RS"/>
        </w:rPr>
      </w:pPr>
      <w:r w:rsidRPr="00B4048D">
        <w:rPr>
          <w:b/>
          <w:color w:val="auto"/>
          <w:lang w:val="sr-Cyrl-RS"/>
        </w:rPr>
        <w:t xml:space="preserve">Питање </w:t>
      </w:r>
      <w:r w:rsidRPr="00B4048D">
        <w:rPr>
          <w:b/>
          <w:color w:val="auto"/>
          <w:lang w:val="sr-Latn-RS"/>
        </w:rPr>
        <w:t>2</w:t>
      </w:r>
      <w:r w:rsidRPr="00B4048D">
        <w:rPr>
          <w:color w:val="auto"/>
          <w:lang w:val="sr-Cyrl-RS"/>
        </w:rPr>
        <w:t>: У конкурсној документацији (стр. 8/37</w:t>
      </w:r>
      <w:r>
        <w:rPr>
          <w:color w:val="auto"/>
          <w:lang w:val="sr-Cyrl-RS"/>
        </w:rPr>
        <w:t>) навели сте захтеве за</w:t>
      </w:r>
      <w:r>
        <w:rPr>
          <w:color w:val="auto"/>
          <w:lang w:val="sr-Latn-RS"/>
        </w:rPr>
        <w:t xml:space="preserve"> </w:t>
      </w:r>
      <w:r w:rsidRPr="00B4048D">
        <w:rPr>
          <w:color w:val="auto"/>
          <w:lang w:val="sr-Cyrl-RS"/>
        </w:rPr>
        <w:t>Кадровски капацитет, да Понуђач мора да има најмање:</w:t>
      </w:r>
    </w:p>
    <w:p w:rsidR="00B4048D" w:rsidRPr="00B4048D" w:rsidRDefault="00B4048D" w:rsidP="00B4048D">
      <w:pPr>
        <w:jc w:val="both"/>
        <w:rPr>
          <w:color w:val="auto"/>
          <w:lang w:val="sr-Cyrl-RS"/>
        </w:rPr>
      </w:pPr>
      <w:r w:rsidRPr="00B4048D">
        <w:rPr>
          <w:color w:val="auto"/>
          <w:lang w:val="sr-Cyrl-RS"/>
        </w:rPr>
        <w:t>2.3</w:t>
      </w:r>
      <w:r w:rsidRPr="00B4048D">
        <w:rPr>
          <w:color w:val="auto"/>
          <w:lang w:val="sr-Cyrl-RS"/>
        </w:rPr>
        <w:tab/>
        <w:t>Једно запослено или радно ангажовано лице које поседује сертификат за аутоматске и ДСГ мењаче</w:t>
      </w:r>
    </w:p>
    <w:p w:rsidR="00B4048D" w:rsidRDefault="00B4048D" w:rsidP="00B4048D">
      <w:pPr>
        <w:jc w:val="both"/>
        <w:rPr>
          <w:color w:val="auto"/>
          <w:lang w:val="sr-Cyrl-RS"/>
        </w:rPr>
      </w:pPr>
      <w:r w:rsidRPr="00B4048D">
        <w:rPr>
          <w:color w:val="auto"/>
          <w:lang w:val="sr-Cyrl-RS"/>
        </w:rPr>
        <w:t>Да ли грешком или зашто захтевате у тачки 2.3 да једно радно ангажовано лице мора поседовати сертификат за аутоматске и ДСГ мењаче, када возила из вашег возног парка не поседују ни аутоматске ни ДСГ мењаче?</w:t>
      </w:r>
    </w:p>
    <w:p w:rsidR="00B4048D" w:rsidRDefault="00B4048D" w:rsidP="00B4048D">
      <w:pPr>
        <w:jc w:val="both"/>
        <w:rPr>
          <w:color w:val="auto"/>
          <w:lang w:val="sr-Cyrl-RS"/>
        </w:rPr>
      </w:pPr>
    </w:p>
    <w:p w:rsidR="00B4048D" w:rsidRDefault="00B4048D" w:rsidP="00B4048D">
      <w:pPr>
        <w:jc w:val="both"/>
        <w:rPr>
          <w:color w:val="auto"/>
          <w:lang w:val="sr-Cyrl-RS"/>
        </w:rPr>
      </w:pPr>
      <w:r w:rsidRPr="00B4048D">
        <w:rPr>
          <w:b/>
          <w:color w:val="auto"/>
          <w:lang w:val="sr-Cyrl-RS"/>
        </w:rPr>
        <w:t xml:space="preserve">Одговор 2: </w:t>
      </w:r>
      <w:r w:rsidR="00C242C9" w:rsidRPr="00C242C9">
        <w:rPr>
          <w:color w:val="auto"/>
          <w:lang w:val="sr-Cyrl-RS"/>
        </w:rPr>
        <w:t>Накнадном провером утврђено је да је потенцијални понуђач у праву и да је дошло до наведене неправилности у Конкурсној документацији, те ће иста у овом делу бити измењена у складу са Законом о јавним набавкама.</w:t>
      </w:r>
      <w:r w:rsidR="00C242C9">
        <w:rPr>
          <w:color w:val="auto"/>
        </w:rPr>
        <w:t xml:space="preserve"> </w:t>
      </w:r>
      <w:r w:rsidR="00C242C9">
        <w:rPr>
          <w:color w:val="auto"/>
          <w:lang w:val="sr-Cyrl-RS"/>
        </w:rPr>
        <w:t xml:space="preserve">Уместо сертификата за </w:t>
      </w:r>
      <w:r w:rsidR="00C242C9" w:rsidRPr="00B4048D">
        <w:rPr>
          <w:color w:val="auto"/>
          <w:lang w:val="sr-Cyrl-RS"/>
        </w:rPr>
        <w:t>аутоматске и ДСГ мењаче</w:t>
      </w:r>
      <w:r w:rsidR="00C242C9">
        <w:rPr>
          <w:color w:val="auto"/>
          <w:lang w:val="sr-Cyrl-RS"/>
        </w:rPr>
        <w:t xml:space="preserve"> требало би да стоји сертификат за мануелне мењаче.</w:t>
      </w:r>
    </w:p>
    <w:p w:rsidR="00246128" w:rsidRDefault="00246128" w:rsidP="00B4048D">
      <w:pPr>
        <w:jc w:val="both"/>
        <w:rPr>
          <w:color w:val="auto"/>
          <w:lang w:val="sr-Cyrl-RS"/>
        </w:rPr>
      </w:pPr>
    </w:p>
    <w:p w:rsidR="00246128" w:rsidRPr="00246128" w:rsidRDefault="00246128" w:rsidP="00246128">
      <w:pPr>
        <w:jc w:val="both"/>
        <w:rPr>
          <w:color w:val="auto"/>
          <w:lang w:val="sr-Cyrl-RS"/>
        </w:rPr>
      </w:pPr>
      <w:r>
        <w:rPr>
          <w:b/>
          <w:color w:val="auto"/>
          <w:lang w:val="sr-Cyrl-RS"/>
        </w:rPr>
        <w:lastRenderedPageBreak/>
        <w:t xml:space="preserve">Питање 3: </w:t>
      </w:r>
      <w:r w:rsidRPr="00246128">
        <w:rPr>
          <w:color w:val="auto"/>
          <w:lang w:val="sr-Cyrl-RS"/>
        </w:rPr>
        <w:t>На страни 7/37, навели сте као додатни услов, Технички капацитет:</w:t>
      </w:r>
      <w:r>
        <w:rPr>
          <w:b/>
          <w:color w:val="auto"/>
          <w:lang w:val="sr-Cyrl-RS"/>
        </w:rPr>
        <w:t xml:space="preserve"> </w:t>
      </w:r>
      <w:r w:rsidRPr="00246128">
        <w:rPr>
          <w:color w:val="auto"/>
          <w:lang w:val="sr-Cyrl-RS"/>
        </w:rPr>
        <w:t>Понуђач мора да поседује следеће уређаје:</w:t>
      </w:r>
    </w:p>
    <w:p w:rsidR="00246128" w:rsidRPr="00246128" w:rsidRDefault="00246128" w:rsidP="00246128">
      <w:pPr>
        <w:jc w:val="both"/>
        <w:rPr>
          <w:color w:val="auto"/>
          <w:lang w:val="sr-Cyrl-RS"/>
        </w:rPr>
      </w:pPr>
      <w:r w:rsidRPr="00246128">
        <w:rPr>
          <w:color w:val="auto"/>
          <w:lang w:val="sr-Cyrl-RS"/>
        </w:rPr>
        <w:t>•</w:t>
      </w:r>
      <w:r w:rsidRPr="00246128">
        <w:rPr>
          <w:color w:val="auto"/>
          <w:lang w:val="sr-Cyrl-RS"/>
        </w:rPr>
        <w:tab/>
        <w:t>Минимум 5 дизалица минималне носивости 3000 кг</w:t>
      </w:r>
    </w:p>
    <w:p w:rsidR="00246128" w:rsidRPr="00246128" w:rsidRDefault="00246128" w:rsidP="00246128">
      <w:pPr>
        <w:jc w:val="both"/>
        <w:rPr>
          <w:color w:val="auto"/>
          <w:lang w:val="sr-Cyrl-RS"/>
        </w:rPr>
      </w:pPr>
      <w:r w:rsidRPr="00246128">
        <w:rPr>
          <w:color w:val="auto"/>
          <w:lang w:val="sr-Cyrl-RS"/>
        </w:rPr>
        <w:t>На страни 13/37 вршите Начин доделе пондера по елементима критеријума и то:</w:t>
      </w:r>
    </w:p>
    <w:p w:rsidR="00246128" w:rsidRPr="00246128" w:rsidRDefault="00246128" w:rsidP="00246128">
      <w:pPr>
        <w:jc w:val="both"/>
        <w:rPr>
          <w:color w:val="auto"/>
          <w:lang w:val="sr-Cyrl-RS"/>
        </w:rPr>
      </w:pPr>
      <w:r w:rsidRPr="00246128">
        <w:rPr>
          <w:color w:val="auto"/>
          <w:lang w:val="sr-Cyrl-RS"/>
        </w:rPr>
        <w:t>2.3 Број радних места са дизалицама и каналом</w:t>
      </w:r>
    </w:p>
    <w:p w:rsidR="00246128" w:rsidRPr="00246128" w:rsidRDefault="00246128" w:rsidP="00246128">
      <w:pPr>
        <w:jc w:val="both"/>
        <w:rPr>
          <w:color w:val="auto"/>
          <w:lang w:val="sr-Cyrl-RS"/>
        </w:rPr>
      </w:pPr>
      <w:r w:rsidRPr="00246128">
        <w:rPr>
          <w:color w:val="auto"/>
          <w:lang w:val="sr-Cyrl-RS"/>
        </w:rPr>
        <w:t>•</w:t>
      </w:r>
      <w:r w:rsidRPr="00246128">
        <w:rPr>
          <w:color w:val="auto"/>
          <w:lang w:val="sr-Cyrl-RS"/>
        </w:rPr>
        <w:tab/>
        <w:t>Понуђач има најмање 10 радних места са дизалицама и каналом-20 пондера</w:t>
      </w:r>
    </w:p>
    <w:p w:rsidR="00246128" w:rsidRPr="00246128" w:rsidRDefault="00246128" w:rsidP="00246128">
      <w:pPr>
        <w:jc w:val="both"/>
        <w:rPr>
          <w:color w:val="auto"/>
          <w:lang w:val="sr-Cyrl-RS"/>
        </w:rPr>
      </w:pPr>
      <w:r w:rsidRPr="00246128">
        <w:rPr>
          <w:color w:val="auto"/>
          <w:lang w:val="sr-Cyrl-RS"/>
        </w:rPr>
        <w:t>•</w:t>
      </w:r>
      <w:r w:rsidRPr="00246128">
        <w:rPr>
          <w:color w:val="auto"/>
          <w:lang w:val="sr-Cyrl-RS"/>
        </w:rPr>
        <w:tab/>
        <w:t>Понуђач има најмање 5 радних места са дизалицама и каналом-5 пондера</w:t>
      </w:r>
    </w:p>
    <w:p w:rsidR="00246128" w:rsidRPr="00246128" w:rsidRDefault="00246128" w:rsidP="00246128">
      <w:pPr>
        <w:jc w:val="both"/>
        <w:rPr>
          <w:color w:val="auto"/>
          <w:lang w:val="sr-Cyrl-RS"/>
        </w:rPr>
      </w:pPr>
      <w:r w:rsidRPr="00246128">
        <w:rPr>
          <w:color w:val="auto"/>
          <w:lang w:val="sr-Cyrl-RS"/>
        </w:rPr>
        <w:t>•</w:t>
      </w:r>
      <w:r w:rsidRPr="00246128">
        <w:rPr>
          <w:color w:val="auto"/>
          <w:lang w:val="sr-Cyrl-RS"/>
        </w:rPr>
        <w:tab/>
        <w:t>Понуђач има најмање 2 радних места са дизалицама и каналом-1 пондер</w:t>
      </w:r>
    </w:p>
    <w:p w:rsidR="00246128" w:rsidRPr="00246128" w:rsidRDefault="00246128" w:rsidP="00246128">
      <w:pPr>
        <w:jc w:val="both"/>
        <w:rPr>
          <w:color w:val="auto"/>
          <w:lang w:val="sr-Cyrl-RS"/>
        </w:rPr>
      </w:pPr>
      <w:r w:rsidRPr="00246128">
        <w:rPr>
          <w:color w:val="auto"/>
          <w:lang w:val="sr-Cyrl-RS"/>
        </w:rPr>
        <w:t>Молимо да исправите конкурсну документацију, јер према Закону о јавним набавкама, оно што представља услов за учешће, не може бити елемент критеријума.</w:t>
      </w:r>
    </w:p>
    <w:p w:rsidR="00246128" w:rsidRPr="00C242C9" w:rsidRDefault="00246128" w:rsidP="00B4048D">
      <w:pPr>
        <w:jc w:val="both"/>
        <w:rPr>
          <w:b/>
          <w:color w:val="auto"/>
          <w:lang w:val="sr-Cyrl-RS"/>
        </w:rPr>
      </w:pPr>
    </w:p>
    <w:p w:rsidR="00217403" w:rsidRDefault="00246128" w:rsidP="00921F18">
      <w:pPr>
        <w:jc w:val="both"/>
        <w:rPr>
          <w:color w:val="auto"/>
          <w:lang w:val="sr-Cyrl-RS"/>
        </w:rPr>
      </w:pPr>
      <w:r w:rsidRPr="00246128">
        <w:rPr>
          <w:b/>
          <w:color w:val="auto"/>
          <w:lang w:val="sr-Cyrl-RS"/>
        </w:rPr>
        <w:t xml:space="preserve">Одговор 3: </w:t>
      </w:r>
      <w:r w:rsidR="00921F18">
        <w:rPr>
          <w:color w:val="auto"/>
          <w:lang w:val="sr-Cyrl-RS"/>
        </w:rPr>
        <w:t>В</w:t>
      </w:r>
      <w:r w:rsidR="00497DEC">
        <w:rPr>
          <w:color w:val="auto"/>
          <w:lang w:val="sr-Cyrl-RS"/>
        </w:rPr>
        <w:t xml:space="preserve">ећи број радних </w:t>
      </w:r>
      <w:r w:rsidR="00217403">
        <w:rPr>
          <w:color w:val="auto"/>
          <w:lang w:val="sr-Cyrl-RS"/>
        </w:rPr>
        <w:t xml:space="preserve">места са дизалицама и </w:t>
      </w:r>
      <w:r w:rsidR="00497DEC">
        <w:rPr>
          <w:color w:val="auto"/>
          <w:lang w:val="sr-Cyrl-RS"/>
        </w:rPr>
        <w:t xml:space="preserve">каналима обезбеђује бржу и ефикаснију услугу. Уколико су нека места заузета већа је вероватноћа да ће аутомобил бити брже сервисиран код понуђача који има већи број радних места са дизалицом и каналом, од оног који има мањи број истих. </w:t>
      </w:r>
      <w:r w:rsidR="00921F18">
        <w:rPr>
          <w:color w:val="auto"/>
          <w:lang w:val="sr-Cyrl-RS"/>
        </w:rPr>
        <w:t xml:space="preserve"> Услов од м</w:t>
      </w:r>
      <w:r w:rsidR="00921F18" w:rsidRPr="00246128">
        <w:rPr>
          <w:color w:val="auto"/>
          <w:lang w:val="sr-Cyrl-RS"/>
        </w:rPr>
        <w:t>инимум 5 дизалица минималне носивости 3000 кг</w:t>
      </w:r>
      <w:r w:rsidR="00921F18">
        <w:rPr>
          <w:color w:val="auto"/>
          <w:lang w:val="sr-Cyrl-RS"/>
        </w:rPr>
        <w:t xml:space="preserve"> остаје непромењен. </w:t>
      </w:r>
    </w:p>
    <w:p w:rsidR="00921F18" w:rsidRDefault="00921F18" w:rsidP="00921F18">
      <w:p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Конкурсна документација мења се у другом делу, код елемената критеријума те ће гласити:</w:t>
      </w:r>
    </w:p>
    <w:p w:rsidR="00083300" w:rsidRPr="00083300" w:rsidRDefault="00083300" w:rsidP="00083300">
      <w:pPr>
        <w:jc w:val="both"/>
        <w:rPr>
          <w:color w:val="auto"/>
          <w:lang w:val="sr-Cyrl-RS"/>
        </w:rPr>
      </w:pPr>
      <w:r w:rsidRPr="00083300">
        <w:rPr>
          <w:color w:val="auto"/>
          <w:lang w:val="sr-Cyrl-RS"/>
        </w:rPr>
        <w:t>2.3 Број радних места са каналом  или дизалицом:</w:t>
      </w:r>
    </w:p>
    <w:p w:rsidR="00083300" w:rsidRPr="00083300" w:rsidRDefault="00083300" w:rsidP="00083300">
      <w:pPr>
        <w:jc w:val="both"/>
        <w:rPr>
          <w:color w:val="auto"/>
          <w:lang w:val="sr-Cyrl-RS"/>
        </w:rPr>
      </w:pPr>
      <w:r w:rsidRPr="00083300">
        <w:rPr>
          <w:color w:val="auto"/>
          <w:lang w:val="sr-Cyrl-RS"/>
        </w:rPr>
        <w:t>•           Понуђач има најмање 10 радних места са каналом или дизалицом-20 пондера</w:t>
      </w:r>
    </w:p>
    <w:p w:rsidR="00083300" w:rsidRPr="00083300" w:rsidRDefault="00083300" w:rsidP="00083300">
      <w:pPr>
        <w:jc w:val="both"/>
        <w:rPr>
          <w:color w:val="auto"/>
          <w:lang w:val="sr-Cyrl-RS"/>
        </w:rPr>
      </w:pPr>
      <w:r w:rsidRPr="00083300">
        <w:rPr>
          <w:color w:val="auto"/>
          <w:lang w:val="sr-Cyrl-RS"/>
        </w:rPr>
        <w:t>•           Понуђач има најмање 7 радних места са каналом или дизалицом -5 пондера</w:t>
      </w:r>
    </w:p>
    <w:p w:rsidR="00246128" w:rsidRDefault="00083300" w:rsidP="00083300">
      <w:pPr>
        <w:jc w:val="both"/>
        <w:rPr>
          <w:color w:val="auto"/>
          <w:lang w:val="sr-Cyrl-RS"/>
        </w:rPr>
      </w:pPr>
      <w:r w:rsidRPr="00083300">
        <w:rPr>
          <w:color w:val="auto"/>
          <w:lang w:val="sr-Cyrl-RS"/>
        </w:rPr>
        <w:t>•           Понуђач има најмање 5 радних места са каналом или дизалицом -1 пондер</w:t>
      </w:r>
    </w:p>
    <w:p w:rsidR="00083300" w:rsidRPr="00246128" w:rsidRDefault="00083300" w:rsidP="00083300">
      <w:pPr>
        <w:jc w:val="both"/>
        <w:rPr>
          <w:b/>
          <w:color w:val="auto"/>
        </w:rPr>
      </w:pPr>
      <w:bookmarkStart w:id="0" w:name="_GoBack"/>
      <w:bookmarkEnd w:id="0"/>
    </w:p>
    <w:p w:rsidR="00246128" w:rsidRDefault="00246128" w:rsidP="00246128">
      <w:pPr>
        <w:jc w:val="both"/>
        <w:rPr>
          <w:color w:val="auto"/>
          <w:lang w:val="sr-Cyrl-RS"/>
        </w:rPr>
      </w:pPr>
      <w:r w:rsidRPr="00246128">
        <w:rPr>
          <w:b/>
          <w:color w:val="auto"/>
          <w:lang w:val="sr-Cyrl-RS"/>
        </w:rPr>
        <w:t xml:space="preserve">Питање </w:t>
      </w:r>
      <w:r>
        <w:rPr>
          <w:b/>
          <w:color w:val="auto"/>
          <w:lang w:val="sr-Cyrl-RS"/>
        </w:rPr>
        <w:t>4</w:t>
      </w:r>
      <w:r w:rsidRPr="00246128">
        <w:rPr>
          <w:b/>
          <w:color w:val="auto"/>
          <w:lang w:val="sr-Cyrl-RS"/>
        </w:rPr>
        <w:t>:</w:t>
      </w:r>
      <w:r>
        <w:rPr>
          <w:color w:val="auto"/>
          <w:lang w:val="sr-Cyrl-RS"/>
        </w:rPr>
        <w:t xml:space="preserve"> </w:t>
      </w:r>
      <w:r w:rsidRPr="00246128">
        <w:rPr>
          <w:color w:val="auto"/>
          <w:lang w:val="sr-Cyrl-RS"/>
        </w:rPr>
        <w:t>На страни 6/37, под редним бројем 4 навели сте као ОБАВЕЗАН УС</w:t>
      </w:r>
      <w:r>
        <w:rPr>
          <w:color w:val="auto"/>
          <w:lang w:val="sr-Cyrl-RS"/>
        </w:rPr>
        <w:t xml:space="preserve">ЛОВ за учешће: </w:t>
      </w:r>
      <w:r w:rsidRPr="00246128">
        <w:rPr>
          <w:color w:val="auto"/>
          <w:lang w:val="sr-Cyrl-RS"/>
        </w:rPr>
        <w:t>Да има овлашћење Министарства унутрашњих послова за обављање техничког прегледа</w:t>
      </w:r>
      <w:r>
        <w:rPr>
          <w:color w:val="auto"/>
          <w:lang w:val="sr-Cyrl-RS"/>
        </w:rPr>
        <w:t xml:space="preserve"> (чл. 75. ст. 1. тачка 4. ЗЈН). Доказ: </w:t>
      </w:r>
      <w:r w:rsidRPr="00246128">
        <w:rPr>
          <w:color w:val="auto"/>
          <w:lang w:val="sr-Cyrl-RS"/>
        </w:rPr>
        <w:t>Овлашћење Министарства унутрашњих послова  за обављање техничког прегледа (потврда МУП-а), у складу са чланом 255. став 1. Закона о безбедности саобраћаја на путевима ("Сл. гласник РС", бр. 41/2009, 53/2010, 101/2011, 32/2013 - одлука УС, 55/2014, 96/2015 - др. закон, 9/2016 - одлука УС, 24/2018, 41/2018, 41/2018 -</w:t>
      </w:r>
      <w:r>
        <w:rPr>
          <w:color w:val="auto"/>
          <w:lang w:val="sr-Cyrl-RS"/>
        </w:rPr>
        <w:t xml:space="preserve"> др. закон, 87/2018 и 23/2019). </w:t>
      </w:r>
      <w:r w:rsidRPr="00246128">
        <w:rPr>
          <w:color w:val="auto"/>
          <w:lang w:val="sr-Cyrl-RS"/>
        </w:rPr>
        <w:t>Напомена: Овај услов не може се доказивати потписавањем изјаве о испуњености услова из члана 75. и 76. Закона у поступку јавне набавке.</w:t>
      </w:r>
      <w:r w:rsidRPr="00246128">
        <w:t xml:space="preserve"> </w:t>
      </w:r>
      <w:r w:rsidRPr="00246128">
        <w:rPr>
          <w:color w:val="auto"/>
          <w:lang w:val="sr-Cyrl-RS"/>
        </w:rPr>
        <w:t>Молимо да овај услов избаците из ОБАВЕЗНИХ УСЛОВА  и пребаците у ДОДАТНЕ УСЛОВЕ, из разлога што предмет ове јавне набавке није технички преглед возила и из наведеног немате право да га сврставате у обавезне услове за учешће, ТЈ. предмет ове јавне набавке је СЕРВИСИРАЊЕ МОТОРНИХ ВОЗИЛА, а не ТЕХНИЧКИ ПРЕГЛЕД МОТОРНИХ ВОЗИЛА.</w:t>
      </w:r>
    </w:p>
    <w:p w:rsidR="00246128" w:rsidRDefault="00246128" w:rsidP="00246128">
      <w:pPr>
        <w:jc w:val="both"/>
        <w:rPr>
          <w:color w:val="auto"/>
          <w:lang w:val="sr-Cyrl-RS"/>
        </w:rPr>
      </w:pPr>
    </w:p>
    <w:p w:rsidR="00246128" w:rsidRDefault="00246128" w:rsidP="00246128">
      <w:pPr>
        <w:jc w:val="both"/>
        <w:rPr>
          <w:b/>
          <w:color w:val="auto"/>
          <w:lang w:val="sr-Cyrl-RS"/>
        </w:rPr>
      </w:pPr>
      <w:r w:rsidRPr="00246128">
        <w:rPr>
          <w:b/>
          <w:color w:val="auto"/>
          <w:lang w:val="sr-Cyrl-RS"/>
        </w:rPr>
        <w:t xml:space="preserve">Одговор </w:t>
      </w:r>
      <w:r>
        <w:rPr>
          <w:b/>
          <w:color w:val="auto"/>
          <w:lang w:val="sr-Cyrl-RS"/>
        </w:rPr>
        <w:t>4</w:t>
      </w:r>
      <w:r w:rsidRPr="00246128">
        <w:rPr>
          <w:b/>
          <w:color w:val="auto"/>
          <w:lang w:val="sr-Cyrl-RS"/>
        </w:rPr>
        <w:t xml:space="preserve">: </w:t>
      </w:r>
      <w:r w:rsidR="00217403" w:rsidRPr="00217403">
        <w:rPr>
          <w:color w:val="auto"/>
          <w:lang w:val="sr-Cyrl-RS"/>
        </w:rPr>
        <w:t>Законом је</w:t>
      </w:r>
      <w:r w:rsidR="00217403">
        <w:rPr>
          <w:color w:val="auto"/>
          <w:lang w:val="sr-Cyrl-RS"/>
        </w:rPr>
        <w:t>, као обавезан услов,</w:t>
      </w:r>
      <w:r w:rsidR="00217403" w:rsidRPr="00217403">
        <w:rPr>
          <w:color w:val="auto"/>
          <w:lang w:val="sr-Cyrl-RS"/>
        </w:rPr>
        <w:t xml:space="preserve"> прописано да </w:t>
      </w:r>
      <w:r w:rsidR="00217403">
        <w:rPr>
          <w:color w:val="auto"/>
          <w:lang w:val="sr-Cyrl-RS"/>
        </w:rPr>
        <w:t xml:space="preserve">понђач мора </w:t>
      </w:r>
      <w:r w:rsidR="00217403" w:rsidRPr="00217403">
        <w:rPr>
          <w:color w:val="auto"/>
          <w:lang w:val="sr-Cyrl-RS"/>
        </w:rPr>
        <w:t>има</w:t>
      </w:r>
      <w:r w:rsidR="00217403">
        <w:rPr>
          <w:color w:val="auto"/>
          <w:lang w:val="sr-Cyrl-RS"/>
        </w:rPr>
        <w:t>ти</w:t>
      </w:r>
      <w:r w:rsidR="00217403" w:rsidRPr="00217403">
        <w:rPr>
          <w:color w:val="auto"/>
          <w:lang w:val="sr-Cyrl-RS"/>
        </w:rPr>
        <w:t xml:space="preserve"> важећу дозволу надлежног органа за обављање делатности која је предмет јавне набавке, ако је таква дозвола предвиђена посебним прописом</w:t>
      </w:r>
      <w:r w:rsidR="00217403">
        <w:rPr>
          <w:color w:val="auto"/>
          <w:lang w:val="sr-Cyrl-RS"/>
        </w:rPr>
        <w:t>. Како је за обављање техничког прегледа, који је саставни део предмета јавне набавке, неопходно Овлашћење МУП-а за обављање техничког прегледа, то никако не може бити додатни услов у Конкурсној документацији.</w:t>
      </w:r>
    </w:p>
    <w:p w:rsidR="00732EAA" w:rsidRDefault="00732EAA" w:rsidP="00246128">
      <w:pPr>
        <w:jc w:val="both"/>
        <w:rPr>
          <w:b/>
          <w:color w:val="auto"/>
          <w:lang w:val="sr-Cyrl-RS"/>
        </w:rPr>
      </w:pPr>
    </w:p>
    <w:p w:rsidR="00732EAA" w:rsidRPr="00732EAA" w:rsidRDefault="00732EAA" w:rsidP="00732EAA">
      <w:pPr>
        <w:jc w:val="both"/>
        <w:rPr>
          <w:color w:val="auto"/>
          <w:lang w:val="sr-Cyrl-RS"/>
        </w:rPr>
      </w:pPr>
      <w:r>
        <w:rPr>
          <w:b/>
          <w:color w:val="auto"/>
          <w:lang w:val="sr-Cyrl-RS"/>
        </w:rPr>
        <w:t>Питање 5:</w:t>
      </w:r>
      <w:r w:rsidRPr="00732EAA">
        <w:t xml:space="preserve"> </w:t>
      </w:r>
      <w:r w:rsidRPr="00732EAA">
        <w:rPr>
          <w:color w:val="auto"/>
          <w:lang w:val="sr-Cyrl-RS"/>
        </w:rPr>
        <w:t>У конкурсној документац</w:t>
      </w:r>
      <w:r>
        <w:rPr>
          <w:color w:val="auto"/>
          <w:lang w:val="sr-Cyrl-RS"/>
        </w:rPr>
        <w:t xml:space="preserve">ији на страни 13/37 навели сте: </w:t>
      </w:r>
      <w:r w:rsidRPr="00732EAA">
        <w:rPr>
          <w:color w:val="auto"/>
          <w:lang w:val="sr-Cyrl-RS"/>
        </w:rPr>
        <w:t xml:space="preserve">2. Елементи критеријума </w:t>
      </w:r>
    </w:p>
    <w:p w:rsidR="00732EAA" w:rsidRPr="00732EAA" w:rsidRDefault="00732EAA" w:rsidP="00732EAA">
      <w:pPr>
        <w:jc w:val="both"/>
        <w:rPr>
          <w:color w:val="auto"/>
          <w:lang w:val="sr-Cyrl-RS"/>
        </w:rPr>
      </w:pPr>
    </w:p>
    <w:p w:rsidR="00732EAA" w:rsidRPr="00732EAA" w:rsidRDefault="00732EAA" w:rsidP="00732EAA">
      <w:pPr>
        <w:jc w:val="both"/>
        <w:rPr>
          <w:color w:val="auto"/>
          <w:lang w:val="sr-Cyrl-RS"/>
        </w:rPr>
      </w:pPr>
      <w:r w:rsidRPr="00732EAA">
        <w:rPr>
          <w:color w:val="auto"/>
          <w:lang w:val="sr-Cyrl-RS"/>
        </w:rPr>
        <w:t>Елемент критеријума</w:t>
      </w:r>
      <w:r w:rsidRPr="00732EAA">
        <w:rPr>
          <w:color w:val="auto"/>
          <w:lang w:val="sr-Cyrl-RS"/>
        </w:rPr>
        <w:tab/>
      </w:r>
      <w:r>
        <w:rPr>
          <w:color w:val="auto"/>
          <w:lang w:val="sr-Cyrl-RS"/>
        </w:rPr>
        <w:t xml:space="preserve">                                                         </w:t>
      </w:r>
      <w:r w:rsidRPr="00732EAA">
        <w:rPr>
          <w:color w:val="auto"/>
          <w:lang w:val="sr-Cyrl-RS"/>
        </w:rPr>
        <w:t>Максимални број пондера</w:t>
      </w:r>
    </w:p>
    <w:p w:rsidR="00732EAA" w:rsidRPr="00732EAA" w:rsidRDefault="00732EAA" w:rsidP="00732EAA">
      <w:pPr>
        <w:jc w:val="both"/>
        <w:rPr>
          <w:color w:val="auto"/>
          <w:lang w:val="sr-Cyrl-RS"/>
        </w:rPr>
      </w:pPr>
      <w:r w:rsidRPr="00732EAA">
        <w:rPr>
          <w:color w:val="auto"/>
          <w:lang w:val="sr-Cyrl-RS"/>
        </w:rPr>
        <w:t>2.4 Начин подношења понуде (самостално, са подизвођачем, заједнички)</w:t>
      </w:r>
      <w:r w:rsidRPr="00732EAA">
        <w:rPr>
          <w:color w:val="auto"/>
          <w:lang w:val="sr-Cyrl-RS"/>
        </w:rPr>
        <w:tab/>
        <w:t>20</w:t>
      </w:r>
    </w:p>
    <w:p w:rsidR="00732EAA" w:rsidRPr="00732EAA" w:rsidRDefault="00732EAA" w:rsidP="00732EAA">
      <w:pPr>
        <w:jc w:val="both"/>
        <w:rPr>
          <w:color w:val="auto"/>
          <w:lang w:val="sr-Cyrl-RS"/>
        </w:rPr>
      </w:pPr>
      <w:r w:rsidRPr="00732EAA">
        <w:rPr>
          <w:color w:val="auto"/>
          <w:lang w:val="sr-Cyrl-RS"/>
        </w:rPr>
        <w:t>и</w:t>
      </w:r>
    </w:p>
    <w:p w:rsidR="00732EAA" w:rsidRPr="00732EAA" w:rsidRDefault="00732EAA" w:rsidP="00732EAA">
      <w:pPr>
        <w:jc w:val="both"/>
        <w:rPr>
          <w:color w:val="auto"/>
          <w:lang w:val="sr-Cyrl-RS"/>
        </w:rPr>
      </w:pPr>
      <w:r w:rsidRPr="00732EAA">
        <w:rPr>
          <w:color w:val="auto"/>
          <w:lang w:val="sr-Cyrl-RS"/>
        </w:rPr>
        <w:t>3. Начин доделе пондера по елементима критеријума</w:t>
      </w:r>
    </w:p>
    <w:p w:rsidR="00732EAA" w:rsidRPr="00732EAA" w:rsidRDefault="00732EAA" w:rsidP="00732EAA">
      <w:pPr>
        <w:jc w:val="both"/>
        <w:rPr>
          <w:color w:val="auto"/>
          <w:lang w:val="sr-Cyrl-RS"/>
        </w:rPr>
      </w:pPr>
      <w:r w:rsidRPr="00732EAA">
        <w:rPr>
          <w:color w:val="auto"/>
          <w:lang w:val="sr-Cyrl-RS"/>
        </w:rPr>
        <w:lastRenderedPageBreak/>
        <w:t>2.4 Начин подношења понуде (самостално, са подизвођачем, заједнички)</w:t>
      </w:r>
    </w:p>
    <w:p w:rsidR="00732EAA" w:rsidRPr="00732EAA" w:rsidRDefault="00732EAA" w:rsidP="00732EAA">
      <w:pPr>
        <w:jc w:val="both"/>
        <w:rPr>
          <w:color w:val="auto"/>
          <w:lang w:val="sr-Cyrl-RS"/>
        </w:rPr>
      </w:pPr>
    </w:p>
    <w:p w:rsidR="00732EAA" w:rsidRPr="00732EAA" w:rsidRDefault="00732EAA" w:rsidP="00732EAA">
      <w:pPr>
        <w:jc w:val="both"/>
        <w:rPr>
          <w:color w:val="auto"/>
          <w:lang w:val="sr-Cyrl-RS"/>
        </w:rPr>
      </w:pPr>
      <w:r w:rsidRPr="00732EAA">
        <w:rPr>
          <w:color w:val="auto"/>
          <w:lang w:val="sr-Cyrl-RS"/>
        </w:rPr>
        <w:t>•</w:t>
      </w:r>
      <w:r w:rsidRPr="00732EAA">
        <w:rPr>
          <w:color w:val="auto"/>
          <w:lang w:val="sr-Cyrl-RS"/>
        </w:rPr>
        <w:tab/>
        <w:t>Самостална понуда-20 пондера</w:t>
      </w:r>
    </w:p>
    <w:p w:rsidR="00732EAA" w:rsidRPr="00732EAA" w:rsidRDefault="00732EAA" w:rsidP="00732EAA">
      <w:pPr>
        <w:jc w:val="both"/>
        <w:rPr>
          <w:color w:val="auto"/>
          <w:lang w:val="sr-Cyrl-RS"/>
        </w:rPr>
      </w:pPr>
      <w:r w:rsidRPr="00732EAA">
        <w:rPr>
          <w:color w:val="auto"/>
          <w:lang w:val="sr-Cyrl-RS"/>
        </w:rPr>
        <w:t>•</w:t>
      </w:r>
      <w:r w:rsidRPr="00732EAA">
        <w:rPr>
          <w:color w:val="auto"/>
          <w:lang w:val="sr-Cyrl-RS"/>
        </w:rPr>
        <w:tab/>
        <w:t>Заједничка понуда-5 пондера</w:t>
      </w:r>
    </w:p>
    <w:p w:rsidR="00732EAA" w:rsidRPr="00732EAA" w:rsidRDefault="00732EAA" w:rsidP="00732EAA">
      <w:pPr>
        <w:jc w:val="both"/>
        <w:rPr>
          <w:color w:val="auto"/>
          <w:lang w:val="sr-Cyrl-RS"/>
        </w:rPr>
      </w:pPr>
      <w:r w:rsidRPr="00732EAA">
        <w:rPr>
          <w:color w:val="auto"/>
          <w:lang w:val="sr-Cyrl-RS"/>
        </w:rPr>
        <w:t>•</w:t>
      </w:r>
      <w:r w:rsidRPr="00732EAA">
        <w:rPr>
          <w:color w:val="auto"/>
          <w:lang w:val="sr-Cyrl-RS"/>
        </w:rPr>
        <w:tab/>
        <w:t>Понуда са подизвођачем-1 пондер</w:t>
      </w:r>
    </w:p>
    <w:p w:rsidR="00732EAA" w:rsidRPr="00732EAA" w:rsidRDefault="00732EAA" w:rsidP="00732EAA">
      <w:pPr>
        <w:jc w:val="both"/>
        <w:rPr>
          <w:color w:val="auto"/>
          <w:lang w:val="sr-Cyrl-RS"/>
        </w:rPr>
      </w:pPr>
    </w:p>
    <w:p w:rsidR="00732EAA" w:rsidRPr="00732EAA" w:rsidRDefault="00732EAA" w:rsidP="00732EAA">
      <w:pPr>
        <w:jc w:val="both"/>
        <w:rPr>
          <w:color w:val="auto"/>
          <w:lang w:val="sr-Cyrl-RS"/>
        </w:rPr>
      </w:pPr>
      <w:r w:rsidRPr="00732EAA">
        <w:rPr>
          <w:color w:val="auto"/>
          <w:lang w:val="sr-Cyrl-RS"/>
        </w:rPr>
        <w:t>Молимо да наведени елемент критеријума избаците из конкурсне документације, јер је то супротно одредбама ЗНЈ.</w:t>
      </w:r>
    </w:p>
    <w:p w:rsidR="00732EAA" w:rsidRDefault="00732EAA" w:rsidP="00246128">
      <w:pPr>
        <w:jc w:val="both"/>
        <w:rPr>
          <w:b/>
          <w:color w:val="auto"/>
          <w:lang w:val="sr-Cyrl-RS"/>
        </w:rPr>
      </w:pPr>
    </w:p>
    <w:p w:rsidR="00732EAA" w:rsidRPr="00732EAA" w:rsidRDefault="00732EAA" w:rsidP="00732EAA">
      <w:pPr>
        <w:jc w:val="both"/>
        <w:rPr>
          <w:color w:val="auto"/>
          <w:lang w:val="sr-Cyrl-RS"/>
        </w:rPr>
      </w:pPr>
      <w:r>
        <w:rPr>
          <w:b/>
          <w:color w:val="auto"/>
          <w:lang w:val="sr-Cyrl-RS"/>
        </w:rPr>
        <w:t xml:space="preserve">Одговор 5: </w:t>
      </w:r>
      <w:r w:rsidRPr="00732EAA">
        <w:rPr>
          <w:color w:val="auto"/>
          <w:lang w:val="sr-Cyrl-RS"/>
        </w:rPr>
        <w:t>У овом делу Конкурсна документација остаје непромењена јер нам је ка</w:t>
      </w:r>
      <w:r>
        <w:rPr>
          <w:color w:val="auto"/>
          <w:lang w:val="sr-Cyrl-RS"/>
        </w:rPr>
        <w:t xml:space="preserve">о Наручиоцу из разлога брзине, </w:t>
      </w:r>
      <w:r w:rsidRPr="00732EAA">
        <w:rPr>
          <w:color w:val="auto"/>
          <w:lang w:val="sr-Cyrl-RS"/>
        </w:rPr>
        <w:t xml:space="preserve">ефикасности </w:t>
      </w:r>
      <w:r>
        <w:rPr>
          <w:color w:val="auto"/>
          <w:lang w:val="sr-Cyrl-RS"/>
        </w:rPr>
        <w:t xml:space="preserve">и економичности </w:t>
      </w:r>
      <w:r w:rsidRPr="00732EAA">
        <w:rPr>
          <w:color w:val="auto"/>
          <w:lang w:val="sr-Cyrl-RS"/>
        </w:rPr>
        <w:t>у интересу да све услуге можемо да обавимо на једном месту, а не тако што ћемо аутомобил</w:t>
      </w:r>
      <w:r>
        <w:rPr>
          <w:color w:val="auto"/>
          <w:lang w:val="sr-Cyrl-RS"/>
        </w:rPr>
        <w:t>е сервисирати у више сервиса. Такође сматрамо да је елемент критеријума у складу са ЗЈН-ом из разлога што није наведен као услов, већ као елемент критеријума од кога зависи успешност понуде.</w:t>
      </w:r>
    </w:p>
    <w:p w:rsidR="00732EAA" w:rsidRPr="00732EAA" w:rsidRDefault="00732EAA" w:rsidP="00732EAA">
      <w:pPr>
        <w:jc w:val="both"/>
        <w:rPr>
          <w:color w:val="auto"/>
          <w:lang w:val="sr-Cyrl-RS"/>
        </w:rPr>
      </w:pPr>
    </w:p>
    <w:p w:rsidR="00732EAA" w:rsidRPr="00246128" w:rsidRDefault="00732EAA" w:rsidP="00246128">
      <w:pPr>
        <w:jc w:val="both"/>
        <w:rPr>
          <w:b/>
          <w:color w:val="auto"/>
          <w:lang w:val="sr-Cyrl-RS"/>
        </w:rPr>
      </w:pPr>
    </w:p>
    <w:p w:rsidR="00246128" w:rsidRPr="00246128" w:rsidRDefault="00246128" w:rsidP="008D4407">
      <w:pPr>
        <w:jc w:val="both"/>
        <w:rPr>
          <w:b/>
          <w:color w:val="auto"/>
          <w:lang w:val="sr-Cyrl-RS"/>
        </w:rPr>
      </w:pPr>
    </w:p>
    <w:p w:rsidR="008D4407" w:rsidRDefault="008D4407" w:rsidP="008D4407">
      <w:pPr>
        <w:jc w:val="both"/>
        <w:rPr>
          <w:b/>
          <w:color w:val="auto"/>
          <w:lang w:val="sr-Cyrl-RS"/>
        </w:rPr>
      </w:pPr>
    </w:p>
    <w:p w:rsidR="00711FDB" w:rsidRDefault="00711FDB" w:rsidP="008C1FAE">
      <w:pPr>
        <w:jc w:val="both"/>
      </w:pPr>
    </w:p>
    <w:p w:rsidR="00711FDB" w:rsidRDefault="00711FDB" w:rsidP="00711FDB">
      <w:pPr>
        <w:jc w:val="right"/>
        <w:rPr>
          <w:color w:val="auto"/>
          <w:lang w:val="sr-Cyrl-RS"/>
        </w:rPr>
      </w:pPr>
      <w:r w:rsidRPr="00711FDB">
        <w:rPr>
          <w:color w:val="auto"/>
          <w:lang w:val="sr-Cyrl-RS"/>
        </w:rPr>
        <w:t>Комисија за јавну набавку</w:t>
      </w:r>
    </w:p>
    <w:p w:rsidR="008C1FAE" w:rsidRPr="000E1D69" w:rsidRDefault="008C1FAE" w:rsidP="00711FDB">
      <w:pPr>
        <w:rPr>
          <w:b/>
          <w:color w:val="auto"/>
          <w:lang w:val="sr-Cyrl-RS"/>
        </w:rPr>
      </w:pPr>
    </w:p>
    <w:sectPr w:rsidR="008C1FAE" w:rsidRPr="000E1D69" w:rsidSect="005746AB">
      <w:footerReference w:type="default" r:id="rId9"/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618" w:rsidRDefault="00887618">
      <w:pPr>
        <w:spacing w:line="240" w:lineRule="auto"/>
      </w:pPr>
      <w:r>
        <w:separator/>
      </w:r>
    </w:p>
  </w:endnote>
  <w:endnote w:type="continuationSeparator" w:id="0">
    <w:p w:rsidR="00887618" w:rsidRDefault="00887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74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FD2BA1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FD2BA1" w:rsidRDefault="00FD2BA1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FD2BA1" w:rsidRDefault="00FD2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618" w:rsidRDefault="00887618">
      <w:pPr>
        <w:spacing w:line="240" w:lineRule="auto"/>
      </w:pPr>
      <w:r>
        <w:separator/>
      </w:r>
    </w:p>
  </w:footnote>
  <w:footnote w:type="continuationSeparator" w:id="0">
    <w:p w:rsidR="00887618" w:rsidRDefault="008876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1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1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 w15:restartNumberingAfterBreak="1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1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BBA0BF1"/>
    <w:multiLevelType w:val="hybridMultilevel"/>
    <w:tmpl w:val="C73E27D8"/>
    <w:lvl w:ilvl="0" w:tplc="0E98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4B3E4">
      <w:numFmt w:val="none"/>
      <w:lvlText w:val=""/>
      <w:lvlJc w:val="left"/>
      <w:pPr>
        <w:tabs>
          <w:tab w:val="num" w:pos="360"/>
        </w:tabs>
      </w:pPr>
    </w:lvl>
    <w:lvl w:ilvl="2" w:tplc="CA8E2108">
      <w:numFmt w:val="none"/>
      <w:lvlText w:val=""/>
      <w:lvlJc w:val="left"/>
      <w:pPr>
        <w:tabs>
          <w:tab w:val="num" w:pos="360"/>
        </w:tabs>
      </w:pPr>
    </w:lvl>
    <w:lvl w:ilvl="3" w:tplc="86D66ACA">
      <w:numFmt w:val="none"/>
      <w:lvlText w:val=""/>
      <w:lvlJc w:val="left"/>
      <w:pPr>
        <w:tabs>
          <w:tab w:val="num" w:pos="360"/>
        </w:tabs>
      </w:pPr>
    </w:lvl>
    <w:lvl w:ilvl="4" w:tplc="65083F2E">
      <w:numFmt w:val="none"/>
      <w:lvlText w:val=""/>
      <w:lvlJc w:val="left"/>
      <w:pPr>
        <w:tabs>
          <w:tab w:val="num" w:pos="360"/>
        </w:tabs>
      </w:pPr>
    </w:lvl>
    <w:lvl w:ilvl="5" w:tplc="58B20D38">
      <w:numFmt w:val="none"/>
      <w:lvlText w:val=""/>
      <w:lvlJc w:val="left"/>
      <w:pPr>
        <w:tabs>
          <w:tab w:val="num" w:pos="360"/>
        </w:tabs>
      </w:pPr>
    </w:lvl>
    <w:lvl w:ilvl="6" w:tplc="77D4A4B4">
      <w:numFmt w:val="none"/>
      <w:lvlText w:val=""/>
      <w:lvlJc w:val="left"/>
      <w:pPr>
        <w:tabs>
          <w:tab w:val="num" w:pos="360"/>
        </w:tabs>
      </w:pPr>
    </w:lvl>
    <w:lvl w:ilvl="7" w:tplc="300A5268">
      <w:numFmt w:val="none"/>
      <w:lvlText w:val=""/>
      <w:lvlJc w:val="left"/>
      <w:pPr>
        <w:tabs>
          <w:tab w:val="num" w:pos="360"/>
        </w:tabs>
      </w:pPr>
    </w:lvl>
    <w:lvl w:ilvl="8" w:tplc="C622825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1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1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1">
    <w:nsid w:val="5B534513"/>
    <w:multiLevelType w:val="hybridMultilevel"/>
    <w:tmpl w:val="D0D07588"/>
    <w:lvl w:ilvl="0" w:tplc="90F20F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297D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DAAE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8F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0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225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64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A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8B5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1">
    <w:nsid w:val="6A74278F"/>
    <w:multiLevelType w:val="hybridMultilevel"/>
    <w:tmpl w:val="645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1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1">
    <w:nsid w:val="7F6D42BB"/>
    <w:multiLevelType w:val="hybridMultilevel"/>
    <w:tmpl w:val="B8F0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30"/>
  </w:num>
  <w:num w:numId="13">
    <w:abstractNumId w:val="32"/>
  </w:num>
  <w:num w:numId="14">
    <w:abstractNumId w:val="29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27"/>
  </w:num>
  <w:num w:numId="27">
    <w:abstractNumId w:val="34"/>
  </w:num>
  <w:num w:numId="28">
    <w:abstractNumId w:val="14"/>
  </w:num>
  <w:num w:numId="29">
    <w:abstractNumId w:val="36"/>
  </w:num>
  <w:num w:numId="30">
    <w:abstractNumId w:val="28"/>
  </w:num>
  <w:num w:numId="31">
    <w:abstractNumId w:val="21"/>
  </w:num>
  <w:num w:numId="32">
    <w:abstractNumId w:val="19"/>
  </w:num>
  <w:num w:numId="33">
    <w:abstractNumId w:val="37"/>
  </w:num>
  <w:num w:numId="34">
    <w:abstractNumId w:val="24"/>
  </w:num>
  <w:num w:numId="35">
    <w:abstractNumId w:val="10"/>
  </w:num>
  <w:num w:numId="36">
    <w:abstractNumId w:val="26"/>
  </w:num>
  <w:num w:numId="37">
    <w:abstractNumId w:val="18"/>
  </w:num>
  <w:num w:numId="38">
    <w:abstractNumId w:val="11"/>
  </w:num>
  <w:num w:numId="39">
    <w:abstractNumId w:val="35"/>
  </w:num>
  <w:num w:numId="40">
    <w:abstractNumId w:val="4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2B"/>
    <w:rsid w:val="000001B4"/>
    <w:rsid w:val="00002170"/>
    <w:rsid w:val="00021FF1"/>
    <w:rsid w:val="00023F18"/>
    <w:rsid w:val="00024BDA"/>
    <w:rsid w:val="0003140C"/>
    <w:rsid w:val="00032B16"/>
    <w:rsid w:val="00033EC0"/>
    <w:rsid w:val="00035E0E"/>
    <w:rsid w:val="00047FE1"/>
    <w:rsid w:val="00051F3B"/>
    <w:rsid w:val="000539D5"/>
    <w:rsid w:val="00072BD4"/>
    <w:rsid w:val="0008180A"/>
    <w:rsid w:val="00081B19"/>
    <w:rsid w:val="00083300"/>
    <w:rsid w:val="00084C33"/>
    <w:rsid w:val="0009005E"/>
    <w:rsid w:val="00092F07"/>
    <w:rsid w:val="00096544"/>
    <w:rsid w:val="000A0EB5"/>
    <w:rsid w:val="000A2965"/>
    <w:rsid w:val="000B038F"/>
    <w:rsid w:val="000C3861"/>
    <w:rsid w:val="000D0FEA"/>
    <w:rsid w:val="000D735A"/>
    <w:rsid w:val="000E1D69"/>
    <w:rsid w:val="000E1D75"/>
    <w:rsid w:val="000F06F0"/>
    <w:rsid w:val="000F0773"/>
    <w:rsid w:val="000F1F99"/>
    <w:rsid w:val="00104C5A"/>
    <w:rsid w:val="00105DFF"/>
    <w:rsid w:val="00106FF4"/>
    <w:rsid w:val="00113763"/>
    <w:rsid w:val="0012154D"/>
    <w:rsid w:val="001378A9"/>
    <w:rsid w:val="0014523D"/>
    <w:rsid w:val="0014555F"/>
    <w:rsid w:val="00146670"/>
    <w:rsid w:val="0015104E"/>
    <w:rsid w:val="001511E5"/>
    <w:rsid w:val="0015123D"/>
    <w:rsid w:val="0016027C"/>
    <w:rsid w:val="00163215"/>
    <w:rsid w:val="00170C9D"/>
    <w:rsid w:val="00172C2B"/>
    <w:rsid w:val="00181707"/>
    <w:rsid w:val="00183473"/>
    <w:rsid w:val="00185D05"/>
    <w:rsid w:val="00187B7C"/>
    <w:rsid w:val="001A4E0B"/>
    <w:rsid w:val="001B07E6"/>
    <w:rsid w:val="001B1537"/>
    <w:rsid w:val="001D73FE"/>
    <w:rsid w:val="001E37AB"/>
    <w:rsid w:val="001F2C92"/>
    <w:rsid w:val="001F4CFB"/>
    <w:rsid w:val="0020712B"/>
    <w:rsid w:val="0020775C"/>
    <w:rsid w:val="00210AFD"/>
    <w:rsid w:val="00213C55"/>
    <w:rsid w:val="002148C3"/>
    <w:rsid w:val="00217403"/>
    <w:rsid w:val="00221C6F"/>
    <w:rsid w:val="002305FB"/>
    <w:rsid w:val="0023282D"/>
    <w:rsid w:val="00232B04"/>
    <w:rsid w:val="00233F40"/>
    <w:rsid w:val="002347CD"/>
    <w:rsid w:val="00234BFC"/>
    <w:rsid w:val="002409BB"/>
    <w:rsid w:val="00242D9C"/>
    <w:rsid w:val="00245828"/>
    <w:rsid w:val="00246128"/>
    <w:rsid w:val="0025027B"/>
    <w:rsid w:val="00255E26"/>
    <w:rsid w:val="00262DD3"/>
    <w:rsid w:val="0026369E"/>
    <w:rsid w:val="002640E8"/>
    <w:rsid w:val="00271C78"/>
    <w:rsid w:val="002731E1"/>
    <w:rsid w:val="002752EE"/>
    <w:rsid w:val="00295062"/>
    <w:rsid w:val="00295CCB"/>
    <w:rsid w:val="002B0C71"/>
    <w:rsid w:val="002C2BFB"/>
    <w:rsid w:val="002D0651"/>
    <w:rsid w:val="002E1AFE"/>
    <w:rsid w:val="002F2D34"/>
    <w:rsid w:val="00300006"/>
    <w:rsid w:val="00301117"/>
    <w:rsid w:val="00302E2C"/>
    <w:rsid w:val="00303871"/>
    <w:rsid w:val="00310910"/>
    <w:rsid w:val="00315408"/>
    <w:rsid w:val="00321A4C"/>
    <w:rsid w:val="00325A22"/>
    <w:rsid w:val="00330ECD"/>
    <w:rsid w:val="0033229E"/>
    <w:rsid w:val="00337413"/>
    <w:rsid w:val="003429C9"/>
    <w:rsid w:val="00346356"/>
    <w:rsid w:val="003541CC"/>
    <w:rsid w:val="003614A8"/>
    <w:rsid w:val="0036552E"/>
    <w:rsid w:val="00372553"/>
    <w:rsid w:val="0037333E"/>
    <w:rsid w:val="00373FB7"/>
    <w:rsid w:val="00376501"/>
    <w:rsid w:val="003770B8"/>
    <w:rsid w:val="00380253"/>
    <w:rsid w:val="00382F03"/>
    <w:rsid w:val="00385438"/>
    <w:rsid w:val="00386E5E"/>
    <w:rsid w:val="003A2447"/>
    <w:rsid w:val="003A3355"/>
    <w:rsid w:val="003B0021"/>
    <w:rsid w:val="003B2B6D"/>
    <w:rsid w:val="003B5A03"/>
    <w:rsid w:val="003C4F85"/>
    <w:rsid w:val="003C7E8A"/>
    <w:rsid w:val="003D4A56"/>
    <w:rsid w:val="003E5A40"/>
    <w:rsid w:val="003F2D05"/>
    <w:rsid w:val="0040239A"/>
    <w:rsid w:val="00403738"/>
    <w:rsid w:val="00412CBE"/>
    <w:rsid w:val="00412EDD"/>
    <w:rsid w:val="00414497"/>
    <w:rsid w:val="0042739E"/>
    <w:rsid w:val="004305DB"/>
    <w:rsid w:val="00433134"/>
    <w:rsid w:val="0044373F"/>
    <w:rsid w:val="00443BA5"/>
    <w:rsid w:val="00444BC8"/>
    <w:rsid w:val="0044639C"/>
    <w:rsid w:val="00447B01"/>
    <w:rsid w:val="00454F35"/>
    <w:rsid w:val="0046292E"/>
    <w:rsid w:val="00462EA8"/>
    <w:rsid w:val="00484E84"/>
    <w:rsid w:val="0048764F"/>
    <w:rsid w:val="00487809"/>
    <w:rsid w:val="004913C9"/>
    <w:rsid w:val="004913E3"/>
    <w:rsid w:val="00497DEC"/>
    <w:rsid w:val="004C6E39"/>
    <w:rsid w:val="004D19FC"/>
    <w:rsid w:val="004D26D9"/>
    <w:rsid w:val="004E516A"/>
    <w:rsid w:val="004F54F1"/>
    <w:rsid w:val="004F75E1"/>
    <w:rsid w:val="00500814"/>
    <w:rsid w:val="0050368D"/>
    <w:rsid w:val="00523A31"/>
    <w:rsid w:val="00524BA1"/>
    <w:rsid w:val="0052632F"/>
    <w:rsid w:val="00526919"/>
    <w:rsid w:val="005271B3"/>
    <w:rsid w:val="00530AA3"/>
    <w:rsid w:val="0053376A"/>
    <w:rsid w:val="00534C95"/>
    <w:rsid w:val="00541519"/>
    <w:rsid w:val="00553A1C"/>
    <w:rsid w:val="0055716F"/>
    <w:rsid w:val="005611A9"/>
    <w:rsid w:val="00562C70"/>
    <w:rsid w:val="00570E67"/>
    <w:rsid w:val="00572421"/>
    <w:rsid w:val="005746AB"/>
    <w:rsid w:val="005808DA"/>
    <w:rsid w:val="0058478F"/>
    <w:rsid w:val="005865EF"/>
    <w:rsid w:val="00586CE2"/>
    <w:rsid w:val="0059490F"/>
    <w:rsid w:val="005A0D2E"/>
    <w:rsid w:val="005B2D5C"/>
    <w:rsid w:val="005B6220"/>
    <w:rsid w:val="005C15D1"/>
    <w:rsid w:val="005C476E"/>
    <w:rsid w:val="005C60AC"/>
    <w:rsid w:val="005D03FE"/>
    <w:rsid w:val="005D2D22"/>
    <w:rsid w:val="005F11F0"/>
    <w:rsid w:val="005F4D11"/>
    <w:rsid w:val="005F4FCE"/>
    <w:rsid w:val="00613F2C"/>
    <w:rsid w:val="00623661"/>
    <w:rsid w:val="0065033F"/>
    <w:rsid w:val="006536F4"/>
    <w:rsid w:val="00661D37"/>
    <w:rsid w:val="0066495F"/>
    <w:rsid w:val="00665653"/>
    <w:rsid w:val="00674FE4"/>
    <w:rsid w:val="006815A0"/>
    <w:rsid w:val="0068724D"/>
    <w:rsid w:val="00692A03"/>
    <w:rsid w:val="006A42D1"/>
    <w:rsid w:val="006A59CA"/>
    <w:rsid w:val="006B20C0"/>
    <w:rsid w:val="006B5662"/>
    <w:rsid w:val="006C0C0C"/>
    <w:rsid w:val="006C4634"/>
    <w:rsid w:val="006C56B7"/>
    <w:rsid w:val="006D4BA0"/>
    <w:rsid w:val="006D7030"/>
    <w:rsid w:val="006F3FEE"/>
    <w:rsid w:val="00711FDB"/>
    <w:rsid w:val="007141CF"/>
    <w:rsid w:val="00722E80"/>
    <w:rsid w:val="00726125"/>
    <w:rsid w:val="00732EAA"/>
    <w:rsid w:val="0073383A"/>
    <w:rsid w:val="007346D7"/>
    <w:rsid w:val="00745686"/>
    <w:rsid w:val="00753ADA"/>
    <w:rsid w:val="00753EAC"/>
    <w:rsid w:val="00765F14"/>
    <w:rsid w:val="00771C6D"/>
    <w:rsid w:val="00774E46"/>
    <w:rsid w:val="00783AFB"/>
    <w:rsid w:val="0078789F"/>
    <w:rsid w:val="007929A9"/>
    <w:rsid w:val="00795FCA"/>
    <w:rsid w:val="007A43A6"/>
    <w:rsid w:val="007A6069"/>
    <w:rsid w:val="007B0275"/>
    <w:rsid w:val="007D2784"/>
    <w:rsid w:val="007D7FD1"/>
    <w:rsid w:val="007E1E2F"/>
    <w:rsid w:val="007E72E2"/>
    <w:rsid w:val="007F4740"/>
    <w:rsid w:val="008032E8"/>
    <w:rsid w:val="00816605"/>
    <w:rsid w:val="0083149D"/>
    <w:rsid w:val="00833AE0"/>
    <w:rsid w:val="008341E1"/>
    <w:rsid w:val="008433E6"/>
    <w:rsid w:val="008613EF"/>
    <w:rsid w:val="00865C44"/>
    <w:rsid w:val="00866F11"/>
    <w:rsid w:val="00876737"/>
    <w:rsid w:val="00882E78"/>
    <w:rsid w:val="00885F68"/>
    <w:rsid w:val="00887618"/>
    <w:rsid w:val="00894743"/>
    <w:rsid w:val="00895A36"/>
    <w:rsid w:val="00897573"/>
    <w:rsid w:val="008B17D4"/>
    <w:rsid w:val="008C1514"/>
    <w:rsid w:val="008C1FAE"/>
    <w:rsid w:val="008D4407"/>
    <w:rsid w:val="008E29E7"/>
    <w:rsid w:val="008F669E"/>
    <w:rsid w:val="00904126"/>
    <w:rsid w:val="009110C8"/>
    <w:rsid w:val="009115FA"/>
    <w:rsid w:val="009167C3"/>
    <w:rsid w:val="0092158E"/>
    <w:rsid w:val="00921B2B"/>
    <w:rsid w:val="00921F18"/>
    <w:rsid w:val="00925696"/>
    <w:rsid w:val="00933B04"/>
    <w:rsid w:val="009809D5"/>
    <w:rsid w:val="0098379A"/>
    <w:rsid w:val="00985828"/>
    <w:rsid w:val="0099785A"/>
    <w:rsid w:val="009A1B91"/>
    <w:rsid w:val="009A6FAB"/>
    <w:rsid w:val="009B76F3"/>
    <w:rsid w:val="009C03D8"/>
    <w:rsid w:val="009C1E26"/>
    <w:rsid w:val="009D71BD"/>
    <w:rsid w:val="009E1E94"/>
    <w:rsid w:val="009E6684"/>
    <w:rsid w:val="009F1311"/>
    <w:rsid w:val="009F2900"/>
    <w:rsid w:val="00A03D79"/>
    <w:rsid w:val="00A04B7F"/>
    <w:rsid w:val="00A118C5"/>
    <w:rsid w:val="00A14C9E"/>
    <w:rsid w:val="00A27711"/>
    <w:rsid w:val="00A40B12"/>
    <w:rsid w:val="00A46823"/>
    <w:rsid w:val="00A507B8"/>
    <w:rsid w:val="00A50E83"/>
    <w:rsid w:val="00A51A3B"/>
    <w:rsid w:val="00A54F8A"/>
    <w:rsid w:val="00A60EB8"/>
    <w:rsid w:val="00A651BB"/>
    <w:rsid w:val="00A83BB1"/>
    <w:rsid w:val="00A86331"/>
    <w:rsid w:val="00AA025D"/>
    <w:rsid w:val="00AA4D8C"/>
    <w:rsid w:val="00AB65BC"/>
    <w:rsid w:val="00AE46A6"/>
    <w:rsid w:val="00AE5EBD"/>
    <w:rsid w:val="00AF0D98"/>
    <w:rsid w:val="00AF44F5"/>
    <w:rsid w:val="00AF5BE0"/>
    <w:rsid w:val="00AF676F"/>
    <w:rsid w:val="00B07FBC"/>
    <w:rsid w:val="00B1047F"/>
    <w:rsid w:val="00B21BCC"/>
    <w:rsid w:val="00B3075A"/>
    <w:rsid w:val="00B3271F"/>
    <w:rsid w:val="00B4048D"/>
    <w:rsid w:val="00B54730"/>
    <w:rsid w:val="00B5522E"/>
    <w:rsid w:val="00B64E48"/>
    <w:rsid w:val="00B7537B"/>
    <w:rsid w:val="00B832A4"/>
    <w:rsid w:val="00BA732B"/>
    <w:rsid w:val="00BB0389"/>
    <w:rsid w:val="00BB1CEE"/>
    <w:rsid w:val="00BB24C4"/>
    <w:rsid w:val="00BB360B"/>
    <w:rsid w:val="00BC62DB"/>
    <w:rsid w:val="00BD019E"/>
    <w:rsid w:val="00BD5636"/>
    <w:rsid w:val="00BD5C71"/>
    <w:rsid w:val="00BD7D56"/>
    <w:rsid w:val="00BE139B"/>
    <w:rsid w:val="00BE41D7"/>
    <w:rsid w:val="00BE6A40"/>
    <w:rsid w:val="00BF53FE"/>
    <w:rsid w:val="00BF77AE"/>
    <w:rsid w:val="00C05C11"/>
    <w:rsid w:val="00C107B4"/>
    <w:rsid w:val="00C1116D"/>
    <w:rsid w:val="00C17B5E"/>
    <w:rsid w:val="00C21BE7"/>
    <w:rsid w:val="00C242C9"/>
    <w:rsid w:val="00C27833"/>
    <w:rsid w:val="00C421B7"/>
    <w:rsid w:val="00C522A7"/>
    <w:rsid w:val="00C548CE"/>
    <w:rsid w:val="00C55403"/>
    <w:rsid w:val="00C672CF"/>
    <w:rsid w:val="00C70AF9"/>
    <w:rsid w:val="00C76AE2"/>
    <w:rsid w:val="00C9021C"/>
    <w:rsid w:val="00C94D61"/>
    <w:rsid w:val="00C9654D"/>
    <w:rsid w:val="00CA0B59"/>
    <w:rsid w:val="00CA3F00"/>
    <w:rsid w:val="00CC3500"/>
    <w:rsid w:val="00CC5CF9"/>
    <w:rsid w:val="00CE5B76"/>
    <w:rsid w:val="00CE63E4"/>
    <w:rsid w:val="00CF1902"/>
    <w:rsid w:val="00D10D5E"/>
    <w:rsid w:val="00D1162B"/>
    <w:rsid w:val="00D24F71"/>
    <w:rsid w:val="00D25AC5"/>
    <w:rsid w:val="00D45C3E"/>
    <w:rsid w:val="00D46355"/>
    <w:rsid w:val="00D477D5"/>
    <w:rsid w:val="00D60BA0"/>
    <w:rsid w:val="00D62008"/>
    <w:rsid w:val="00D701C8"/>
    <w:rsid w:val="00D81877"/>
    <w:rsid w:val="00D86A91"/>
    <w:rsid w:val="00D86F48"/>
    <w:rsid w:val="00D91B97"/>
    <w:rsid w:val="00D955DA"/>
    <w:rsid w:val="00DA37AB"/>
    <w:rsid w:val="00DB3C94"/>
    <w:rsid w:val="00DC6EC1"/>
    <w:rsid w:val="00DD4414"/>
    <w:rsid w:val="00DE3184"/>
    <w:rsid w:val="00DE668E"/>
    <w:rsid w:val="00DF0F3D"/>
    <w:rsid w:val="00E01FD3"/>
    <w:rsid w:val="00E05992"/>
    <w:rsid w:val="00E10E9E"/>
    <w:rsid w:val="00E567E3"/>
    <w:rsid w:val="00E6275B"/>
    <w:rsid w:val="00E711B8"/>
    <w:rsid w:val="00E7626E"/>
    <w:rsid w:val="00E87E51"/>
    <w:rsid w:val="00E927C2"/>
    <w:rsid w:val="00E932EC"/>
    <w:rsid w:val="00E97892"/>
    <w:rsid w:val="00EA02C0"/>
    <w:rsid w:val="00EA6E52"/>
    <w:rsid w:val="00EB07A0"/>
    <w:rsid w:val="00EB5E8E"/>
    <w:rsid w:val="00EC5C16"/>
    <w:rsid w:val="00ED5CFB"/>
    <w:rsid w:val="00EE180A"/>
    <w:rsid w:val="00EF63DF"/>
    <w:rsid w:val="00F02B66"/>
    <w:rsid w:val="00F054B1"/>
    <w:rsid w:val="00F10092"/>
    <w:rsid w:val="00F110D0"/>
    <w:rsid w:val="00F44140"/>
    <w:rsid w:val="00F44C2D"/>
    <w:rsid w:val="00F510EA"/>
    <w:rsid w:val="00F744C8"/>
    <w:rsid w:val="00F7636B"/>
    <w:rsid w:val="00F8263F"/>
    <w:rsid w:val="00F90C0F"/>
    <w:rsid w:val="00F96F8C"/>
    <w:rsid w:val="00FA33E2"/>
    <w:rsid w:val="00FB3DFB"/>
    <w:rsid w:val="00FB5D38"/>
    <w:rsid w:val="00FC07B5"/>
    <w:rsid w:val="00FC08C6"/>
    <w:rsid w:val="00FD1DE0"/>
    <w:rsid w:val="00FD2BA1"/>
    <w:rsid w:val="00FD382C"/>
    <w:rsid w:val="00FD5C95"/>
    <w:rsid w:val="00FD65B1"/>
    <w:rsid w:val="00FD6E5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BF1B5C"/>
  <w15:chartTrackingRefBased/>
  <w15:docId w15:val="{D7ECB0A4-8252-40C4-8115-B5F064D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74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274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74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A7B8-6D38-4CFE-88C7-C91CD9FA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</vt:lpstr>
    </vt:vector>
  </TitlesOfParts>
  <Company>Microsoft</Company>
  <LinksUpToDate>false</LinksUpToDate>
  <CharactersWithSpaces>6032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</dc:title>
  <dc:subject/>
  <dc:creator>Zvonko Popovic</dc:creator>
  <cp:keywords/>
  <cp:lastModifiedBy>Marija Kovacevic</cp:lastModifiedBy>
  <cp:revision>16</cp:revision>
  <cp:lastPrinted>2020-05-22T09:18:00Z</cp:lastPrinted>
  <dcterms:created xsi:type="dcterms:W3CDTF">2018-11-06T07:26:00Z</dcterms:created>
  <dcterms:modified xsi:type="dcterms:W3CDTF">2020-07-07T11:53:00Z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