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E3341" w:rsidRPr="001834BA" w:rsidTr="001E0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253" w:type="dxa"/>
            <w:vAlign w:val="center"/>
          </w:tcPr>
          <w:p w:rsidR="00AE3341" w:rsidRPr="001834BA" w:rsidRDefault="00AE3341" w:rsidP="001E0A76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1834B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0836423" wp14:editId="1BA55FD2">
                  <wp:extent cx="428625" cy="704850"/>
                  <wp:effectExtent l="0" t="0" r="9525" b="0"/>
                  <wp:docPr id="2" name="Picture 2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1" w:rsidRPr="001834BA" w:rsidRDefault="00AE3341" w:rsidP="001E0A76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AE3341" w:rsidRPr="001834BA" w:rsidRDefault="00AE3341" w:rsidP="001E0A76">
            <w:pPr>
              <w:pStyle w:val="BodyText"/>
              <w:jc w:val="center"/>
              <w:rPr>
                <w:sz w:val="22"/>
                <w:szCs w:val="22"/>
              </w:rPr>
            </w:pPr>
            <w:r w:rsidRPr="001834BA">
              <w:rPr>
                <w:sz w:val="22"/>
                <w:szCs w:val="22"/>
              </w:rPr>
              <w:t>Република Србија</w:t>
            </w:r>
          </w:p>
          <w:p w:rsidR="00AE3341" w:rsidRPr="001834BA" w:rsidRDefault="00AE3341" w:rsidP="001E0A76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  <w:r w:rsidRPr="001834BA">
              <w:rPr>
                <w:b/>
                <w:sz w:val="22"/>
                <w:szCs w:val="22"/>
                <w:lang w:val="ru-RU"/>
              </w:rPr>
              <w:t>РЕПУБЛИЧКИ ЗАВОД ЗА СТАТИСТИКУ</w:t>
            </w:r>
          </w:p>
          <w:p w:rsidR="00AE3341" w:rsidRPr="00C236F8" w:rsidRDefault="00AE3341" w:rsidP="001E0A76">
            <w:pPr>
              <w:pStyle w:val="BodyTex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06 Број:</w:t>
            </w:r>
            <w:r>
              <w:rPr>
                <w:sz w:val="22"/>
                <w:szCs w:val="22"/>
                <w:lang w:val="sr-Latn-RS"/>
              </w:rPr>
              <w:t>404-</w:t>
            </w:r>
            <w:r>
              <w:rPr>
                <w:sz w:val="22"/>
                <w:szCs w:val="22"/>
                <w:lang w:val="sr-Latn-RS"/>
              </w:rPr>
              <w:t>1197/4</w:t>
            </w:r>
            <w:bookmarkStart w:id="0" w:name="_GoBack"/>
            <w:bookmarkEnd w:id="0"/>
          </w:p>
          <w:p w:rsidR="00AE3341" w:rsidRPr="001834BA" w:rsidRDefault="00AE3341" w:rsidP="001E0A76">
            <w:pPr>
              <w:pStyle w:val="BodyText"/>
              <w:rPr>
                <w:sz w:val="22"/>
                <w:szCs w:val="22"/>
              </w:rPr>
            </w:pPr>
            <w:r w:rsidRPr="001834BA">
              <w:rPr>
                <w:sz w:val="22"/>
                <w:szCs w:val="22"/>
                <w:lang w:val="sr-Cyrl-CS"/>
              </w:rPr>
              <w:t xml:space="preserve">                Датум:</w:t>
            </w:r>
            <w:r>
              <w:rPr>
                <w:sz w:val="22"/>
                <w:szCs w:val="22"/>
                <w:lang w:val="sr-Latn-RS"/>
              </w:rPr>
              <w:t xml:space="preserve"> 04.12.2018.</w:t>
            </w:r>
          </w:p>
          <w:p w:rsidR="00AE3341" w:rsidRPr="001834BA" w:rsidRDefault="00AE3341" w:rsidP="001E0A76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1834BA">
              <w:rPr>
                <w:bCs/>
                <w:spacing w:val="130"/>
                <w:sz w:val="22"/>
                <w:szCs w:val="22"/>
                <w:lang w:val="sr-Cyrl-CS"/>
              </w:rPr>
              <w:t>Београд</w:t>
            </w:r>
          </w:p>
        </w:tc>
      </w:tr>
    </w:tbl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p w:rsidR="00AE3341" w:rsidRDefault="00AE3341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242"/>
      </w:tblGrid>
      <w:tr w:rsidR="00536D31" w:rsidRPr="002305FB" w:rsidTr="002305FB">
        <w:tc>
          <w:tcPr>
            <w:tcW w:w="9242" w:type="dxa"/>
            <w:shd w:val="clear" w:color="auto" w:fill="B8CCE4"/>
          </w:tcPr>
          <w:p w:rsidR="00536D31" w:rsidRPr="002305FB" w:rsidRDefault="00536D31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536D31" w:rsidRDefault="00536D31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48373F" w:rsidP="00E711B8">
            <w:pPr>
              <w:jc w:val="both"/>
            </w:pPr>
            <w:hyperlink r:id="rId9" w:history="1">
              <w:r w:rsidR="00536D31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536D31" w:rsidRDefault="00536D31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36D31" w:rsidRPr="00536D31" w:rsidRDefault="00536D31" w:rsidP="00E711B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Новогодишњи пакетићи</w:t>
            </w:r>
          </w:p>
        </w:tc>
      </w:tr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jc w:val="both"/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413142: Поклони за децу запослених</w:t>
            </w:r>
            <w:r w:rsidR="00943723">
              <w:rPr>
                <w:noProof/>
                <w:lang w:val="sr-Cyrl-RS"/>
              </w:rPr>
              <w:t>,</w:t>
            </w:r>
            <w:r w:rsidR="00943723">
              <w:t xml:space="preserve"> </w:t>
            </w:r>
            <w:r w:rsidR="00943723" w:rsidRPr="00943723">
              <w:rPr>
                <w:noProof/>
                <w:lang w:val="sr-Cyrl-RS"/>
              </w:rPr>
              <w:t>Поклони за децу запослених, спортска роба и опрема – 37400000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FD1DE0" w:rsidTr="00181707">
        <w:tc>
          <w:tcPr>
            <w:tcW w:w="3798" w:type="dxa"/>
            <w:shd w:val="clear" w:color="auto" w:fill="auto"/>
          </w:tcPr>
          <w:p w:rsidR="00536D31" w:rsidRPr="00FD1DE0" w:rsidRDefault="00536D31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36D31" w:rsidRPr="00FD1DE0" w:rsidRDefault="00536D31" w:rsidP="00106FF4">
            <w:r w:rsidRPr="00976F87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536D31" w:rsidRPr="003A2447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3A2447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661D37"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</w:t>
            </w:r>
            <w:r w:rsidRPr="00E711B8">
              <w:rPr>
                <w:lang w:val="sr-Cyrl-RS"/>
              </w:rPr>
              <w:lastRenderedPageBreak/>
              <w:t>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36D31" w:rsidRPr="003A2447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36D31" w:rsidRPr="00106FF4" w:rsidRDefault="00536D31" w:rsidP="00106FF4"/>
    <w:tbl>
      <w:tblPr>
        <w:tblW w:w="924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943723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Избор најповољније понуде ће се извршити применом критеријума „Економски најповољнија понуда“. Оцењивање, рангирање и избор најповољнијег Понуђача извршиће Комисија за јавну набавку  на основу следећих елемената критеријума којима се додељују пондери чији укупан збир износи 100 и то: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1. Референтна листа-10 пондера;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2. Рок испоруке-10 пондера;</w:t>
            </w:r>
          </w:p>
          <w:p w:rsidR="00536D31" w:rsidRDefault="00536D31" w:rsidP="00CC6224">
            <w:pPr>
              <w:jc w:val="both"/>
              <w:rPr>
                <w:noProof/>
                <w:lang w:val="sr-Cyrl-RS"/>
              </w:rPr>
            </w:pPr>
            <w:r w:rsidRPr="00976F87">
              <w:rPr>
                <w:noProof/>
              </w:rPr>
              <w:t>3. Кв</w:t>
            </w:r>
            <w:r w:rsidR="00943723">
              <w:rPr>
                <w:noProof/>
              </w:rPr>
              <w:t>алитет-</w:t>
            </w:r>
            <w:r w:rsidR="00943723">
              <w:rPr>
                <w:noProof/>
                <w:lang w:val="sr-Cyrl-RS"/>
              </w:rPr>
              <w:t>75</w:t>
            </w:r>
            <w:r w:rsidRPr="00976F87">
              <w:rPr>
                <w:noProof/>
              </w:rPr>
              <w:t xml:space="preserve"> пондера. </w:t>
            </w:r>
          </w:p>
          <w:p w:rsidR="00943723" w:rsidRPr="00943723" w:rsidRDefault="00943723" w:rsidP="00CC6224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4.Износ бонуса-5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Методологија за доделу пондера за сваки елемент критеријума: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1. Елемент критеријума – референтна листа - 10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Начин бодовања: Овим критеријумом оцењиваће се искуство понуђача у претходне 3 године ( 2014, 2015. и 2016. година) у реализацији испорука новогодишњих пакетића које су по обиму упоредиве са спецификацијом из ове конкурсне документације. 10  пондера добија понуђач који достави изјаву да је у претходне 3 године имао најмање 50 успешно реализованих испорука чија појединачна вредност мора бити једнака или већа од вредности ове набавке.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2. Елемент критеријума – Рок испоруке - 10  пондера 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Начин бодовања: Рок испоруке 1 дан -10 пондера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2 дана -7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3 дана -5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Рок испоруке 4 и више дана- 0 пондера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3. Е</w:t>
            </w:r>
            <w:r w:rsidR="00943723">
              <w:rPr>
                <w:noProof/>
              </w:rPr>
              <w:t>лемент критеријума – Квалитет-</w:t>
            </w:r>
            <w:r w:rsidR="00943723">
              <w:rPr>
                <w:noProof/>
                <w:lang w:val="sr-Cyrl-RS"/>
              </w:rPr>
              <w:t>75</w:t>
            </w:r>
            <w:r w:rsidRPr="00976F87">
              <w:rPr>
                <w:noProof/>
              </w:rPr>
              <w:t xml:space="preserve"> пондера 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 xml:space="preserve">Начин бодовања: Уколико играчке нису лако ломљиве, издржљиве су- еластичнији материјал, савршена уклопљивост делова, не прелива се боја-постојана је и не раствара се, леп визуелни ефекат, </w:t>
            </w:r>
            <w:r w:rsidRPr="00976F87">
              <w:rPr>
                <w:noProof/>
              </w:rPr>
              <w:lastRenderedPageBreak/>
              <w:t>добра завршна обрада, глатке ивице, безбедне по децу у смислу повређивања и гутања, лако се одржавају, не отпадају делови, примерене узрасту и полу детета, тржишно конкурентне, познати светски произвођачи, највећи број реклама и тв кампања, популарност, препознатљивост бренда, ознака це (да је у складу са прописима европске уније), едукативнос</w:t>
            </w:r>
            <w:r w:rsidR="00943723">
              <w:rPr>
                <w:noProof/>
              </w:rPr>
              <w:t xml:space="preserve">т, визуелна препознатљивост - </w:t>
            </w:r>
            <w:r w:rsidR="00943723">
              <w:rPr>
                <w:noProof/>
                <w:lang w:val="sr-Cyrl-RS"/>
              </w:rPr>
              <w:t>75</w:t>
            </w:r>
            <w:r w:rsidRPr="00976F87">
              <w:rPr>
                <w:noProof/>
              </w:rPr>
              <w:t xml:space="preserve">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Уколико играчке могу да се лакше поломе, мање су издржљиве и еластичне, добра уклопљивост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делова, прелива се боја- мање постојана, добар визуелни ефекат, материјал од којег су играчке сачињене просечног је изгледа, завршна обрада просечна, мање глатке ивице, безбедне по децу у смислу повређивања и гутања, добро се о</w:t>
            </w:r>
            <w:r w:rsidR="00943723">
              <w:rPr>
                <w:noProof/>
              </w:rPr>
              <w:t xml:space="preserve">државају, делови не отпадају - </w:t>
            </w:r>
            <w:r w:rsidR="00943723">
              <w:rPr>
                <w:noProof/>
                <w:lang w:val="sr-Cyrl-RS"/>
              </w:rPr>
              <w:t>35</w:t>
            </w:r>
            <w:r w:rsidRPr="00976F87">
              <w:rPr>
                <w:noProof/>
              </w:rPr>
              <w:t xml:space="preserve"> пондера.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Играчке су ломљиве, нису издржљиве и еластичне, лоша уклопљивост делова, прелива се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боја- није постојана , лош визуелни ефекат, материјал од којег су играчке сачињене лошијег</w:t>
            </w:r>
          </w:p>
          <w:p w:rsidR="00536D31" w:rsidRPr="00976F87" w:rsidRDefault="00536D31" w:rsidP="00CC6224">
            <w:pPr>
              <w:jc w:val="both"/>
              <w:rPr>
                <w:noProof/>
              </w:rPr>
            </w:pPr>
            <w:r w:rsidRPr="00976F87">
              <w:rPr>
                <w:noProof/>
              </w:rPr>
              <w:t>је изгледа, лоша завршна обрада, нису глатке ивице, мање безбедне по децу у смислу</w:t>
            </w:r>
          </w:p>
          <w:p w:rsidR="00536D31" w:rsidRDefault="00536D31" w:rsidP="00CC6224">
            <w:pPr>
              <w:jc w:val="both"/>
              <w:rPr>
                <w:noProof/>
                <w:lang w:val="sr-Cyrl-RS"/>
              </w:rPr>
            </w:pPr>
            <w:r w:rsidRPr="00976F87">
              <w:rPr>
                <w:noProof/>
              </w:rPr>
              <w:t>повређивања и гутања, лоше се од</w:t>
            </w:r>
            <w:r w:rsidR="00943723">
              <w:rPr>
                <w:noProof/>
              </w:rPr>
              <w:t xml:space="preserve">ржавају, делови отпадају - </w:t>
            </w:r>
            <w:r w:rsidR="00943723">
              <w:rPr>
                <w:noProof/>
                <w:lang w:val="sr-Cyrl-RS"/>
              </w:rPr>
              <w:t>15</w:t>
            </w:r>
            <w:r w:rsidRPr="00976F87">
              <w:rPr>
                <w:noProof/>
              </w:rPr>
              <w:t xml:space="preserve"> пондера</w:t>
            </w:r>
          </w:p>
          <w:p w:rsidR="00943723" w:rsidRPr="00943723" w:rsidRDefault="00943723" w:rsidP="00943723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4.</w:t>
            </w:r>
            <w:r w:rsidRPr="00943723">
              <w:rPr>
                <w:noProof/>
                <w:lang w:val="sr-Cyrl-RS"/>
              </w:rPr>
              <w:t xml:space="preserve">Елемент критеријума – Износ бонуса за групу 5 (поклон картице или ваучери) - 5 пондера </w:t>
            </w:r>
          </w:p>
          <w:p w:rsidR="00943723" w:rsidRPr="00943723" w:rsidRDefault="00943723" w:rsidP="00943723">
            <w:pPr>
              <w:jc w:val="both"/>
              <w:rPr>
                <w:noProof/>
                <w:lang w:val="sr-Cyrl-RS"/>
              </w:rPr>
            </w:pPr>
            <w:r w:rsidRPr="00943723">
              <w:rPr>
                <w:noProof/>
                <w:lang w:val="sr-Cyrl-RS"/>
              </w:rPr>
              <w:t>Начин бодовања:Понуђач који достави ваучер са највишим износом бонуса вреднује се са 5 пондера, следећи понуђач са понуђеним  мањим износом вреднује се са 4 пондера,следећи понуђач  са још мањим понуђеним  износом  вреднује се са 3 пондера и тако док се не дође до 0 пондера. Уколико 2 или више понуђача понуде исти износ бонуса, њихова понуда ће бити вреднована истим бројем пондера.</w:t>
            </w:r>
          </w:p>
          <w:p w:rsidR="00943723" w:rsidRPr="00943723" w:rsidRDefault="00943723" w:rsidP="00CC6224">
            <w:pPr>
              <w:jc w:val="both"/>
              <w:rPr>
                <w:noProof/>
                <w:lang w:val="sr-Cyrl-RS"/>
              </w:rPr>
            </w:pPr>
          </w:p>
          <w:p w:rsidR="00536D31" w:rsidRPr="003A2447" w:rsidRDefault="00536D31" w:rsidP="00E711B8">
            <w:pPr>
              <w:jc w:val="both"/>
            </w:pPr>
          </w:p>
        </w:tc>
      </w:tr>
    </w:tbl>
    <w:p w:rsidR="00536D31" w:rsidRPr="00106FF4" w:rsidRDefault="00536D31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976F87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36D31" w:rsidRDefault="00536D31" w:rsidP="00CC6224">
            <w:pPr>
              <w:jc w:val="both"/>
              <w:rPr>
                <w:noProof/>
              </w:rPr>
            </w:pPr>
            <w:r>
              <w:rPr>
                <w:noProof/>
              </w:rPr>
              <w:t>Понуду доставити на адресу: Републички завод за статистику, Милана Ракића 5, 11 000 Београд, са назнаком: ,,Понуда за</w:t>
            </w:r>
            <w:r w:rsidR="00943723">
              <w:rPr>
                <w:noProof/>
              </w:rPr>
              <w:t xml:space="preserve"> јавну набавку добара, ЈН бр. 0</w:t>
            </w:r>
            <w:r w:rsidR="00943723">
              <w:rPr>
                <w:noProof/>
                <w:lang w:val="sr-Cyrl-RS"/>
              </w:rPr>
              <w:t>11</w:t>
            </w:r>
            <w:r>
              <w:rPr>
                <w:noProof/>
              </w:rPr>
              <w:t>/201</w:t>
            </w:r>
            <w:r w:rsidR="00943723">
              <w:rPr>
                <w:noProof/>
                <w:lang w:val="sr-Cyrl-RS"/>
              </w:rPr>
              <w:t>8</w:t>
            </w:r>
            <w:r>
              <w:rPr>
                <w:noProof/>
              </w:rPr>
              <w:t xml:space="preserve"> - НЕ ОТВАРАТИ”. Понуда се сматра благовременом уколико је примљена о</w:t>
            </w:r>
            <w:r w:rsidR="00943723">
              <w:rPr>
                <w:noProof/>
              </w:rPr>
              <w:t>д стране наручиоца до 12.12.201</w:t>
            </w:r>
            <w:r w:rsidR="00943723">
              <w:rPr>
                <w:noProof/>
                <w:lang w:val="sr-Cyrl-RS"/>
              </w:rPr>
              <w:t>8</w:t>
            </w:r>
            <w:r>
              <w:rPr>
                <w:noProof/>
              </w:rPr>
              <w:t>. године до 10:00 часова</w:t>
            </w:r>
          </w:p>
          <w:p w:rsidR="00536D31" w:rsidRPr="00661D37" w:rsidRDefault="00536D31" w:rsidP="00536D31">
            <w:pPr>
              <w:jc w:val="both"/>
            </w:pPr>
            <w:r>
              <w:t xml:space="preserve"> </w:t>
            </w:r>
          </w:p>
        </w:tc>
      </w:tr>
    </w:tbl>
    <w:p w:rsidR="00536D31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943723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12.12.201</w:t>
            </w:r>
            <w:r w:rsidR="00943723">
              <w:rPr>
                <w:noProof/>
                <w:lang w:val="sr-Cyrl-RS"/>
              </w:rPr>
              <w:t>8</w:t>
            </w:r>
            <w:r>
              <w:rPr>
                <w:noProof/>
              </w:rPr>
              <w:t>. године у 10:30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536D31" w:rsidRPr="00106FF4" w:rsidRDefault="00536D31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661D37" w:rsidTr="00181707">
        <w:tc>
          <w:tcPr>
            <w:tcW w:w="3798" w:type="dxa"/>
            <w:shd w:val="clear" w:color="auto" w:fill="auto"/>
          </w:tcPr>
          <w:p w:rsidR="00536D31" w:rsidRPr="00661D37" w:rsidRDefault="00536D31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36D31" w:rsidRPr="00661D37" w:rsidRDefault="00536D31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36D31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106FF4">
            <w:pPr>
              <w:rPr>
                <w:lang w:val="sr-Cyrl-RS"/>
              </w:rPr>
            </w:pPr>
            <w:r w:rsidRPr="00976F87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36D31" w:rsidRPr="00661D37" w:rsidRDefault="00536D31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Tr="00181707">
        <w:tc>
          <w:tcPr>
            <w:tcW w:w="3798" w:type="dxa"/>
            <w:shd w:val="clear" w:color="auto" w:fill="auto"/>
          </w:tcPr>
          <w:p w:rsidR="00536D31" w:rsidRDefault="00536D31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36D31" w:rsidRDefault="0088287A" w:rsidP="00CC6224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  <w:lang w:val="sr-Cyrl-RS"/>
              </w:rPr>
              <w:t>Марија Михајловић</w:t>
            </w:r>
            <w:r w:rsidR="00536D31">
              <w:rPr>
                <w:noProof/>
              </w:rPr>
              <w:t xml:space="preserve">, службеник за јавне набавке </w:t>
            </w:r>
          </w:p>
          <w:p w:rsidR="00536D31" w:rsidRDefault="00536D31" w:rsidP="005D4956">
            <w:pPr>
              <w:tabs>
                <w:tab w:val="left" w:pos="5460"/>
              </w:tabs>
            </w:pPr>
            <w:r>
              <w:rPr>
                <w:noProof/>
              </w:rPr>
              <w:t>marija.</w:t>
            </w:r>
            <w:r w:rsidR="005D4956">
              <w:rPr>
                <w:noProof/>
              </w:rPr>
              <w:t>mihajlovic</w:t>
            </w:r>
            <w:r>
              <w:rPr>
                <w:noProof/>
              </w:rPr>
              <w:t>@stat.gov.rs</w:t>
            </w:r>
          </w:p>
        </w:tc>
      </w:tr>
    </w:tbl>
    <w:p w:rsidR="00536D31" w:rsidRDefault="00536D31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536D31" w:rsidRPr="00E711B8" w:rsidTr="00181707">
        <w:tc>
          <w:tcPr>
            <w:tcW w:w="3798" w:type="dxa"/>
            <w:shd w:val="clear" w:color="auto" w:fill="auto"/>
          </w:tcPr>
          <w:p w:rsidR="00536D31" w:rsidRPr="00E711B8" w:rsidRDefault="00536D31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44" w:type="dxa"/>
            <w:shd w:val="clear" w:color="auto" w:fill="B8CCE4"/>
          </w:tcPr>
          <w:p w:rsidR="00536D31" w:rsidRPr="00E711B8" w:rsidRDefault="00536D31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36D31" w:rsidRDefault="00536D31" w:rsidP="00106FF4">
      <w:pPr>
        <w:tabs>
          <w:tab w:val="left" w:pos="5460"/>
        </w:tabs>
        <w:sectPr w:rsidR="00536D31" w:rsidSect="00536D31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536D31" w:rsidRPr="00106FF4" w:rsidRDefault="00536D31" w:rsidP="00106FF4">
      <w:pPr>
        <w:tabs>
          <w:tab w:val="left" w:pos="5460"/>
        </w:tabs>
      </w:pPr>
    </w:p>
    <w:sectPr w:rsidR="00536D31" w:rsidRPr="00106FF4" w:rsidSect="00536D31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F" w:rsidRDefault="0048373F">
      <w:pPr>
        <w:spacing w:line="240" w:lineRule="auto"/>
      </w:pPr>
      <w:r>
        <w:separator/>
      </w:r>
    </w:p>
  </w:endnote>
  <w:endnote w:type="continuationSeparator" w:id="0">
    <w:p w:rsidR="0048373F" w:rsidRDefault="00483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1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36D31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36D31" w:rsidRDefault="00536D31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36D31" w:rsidRDefault="00536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F" w:rsidRDefault="0048373F">
      <w:pPr>
        <w:spacing w:line="240" w:lineRule="auto"/>
      </w:pPr>
      <w:r>
        <w:separator/>
      </w:r>
    </w:p>
  </w:footnote>
  <w:footnote w:type="continuationSeparator" w:id="0">
    <w:p w:rsidR="0048373F" w:rsidRDefault="00483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1746B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43BA5"/>
    <w:rsid w:val="00444BC8"/>
    <w:rsid w:val="0044639C"/>
    <w:rsid w:val="00447B01"/>
    <w:rsid w:val="00454F35"/>
    <w:rsid w:val="0046292E"/>
    <w:rsid w:val="00462EA8"/>
    <w:rsid w:val="0048373F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36D31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D4956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22E80"/>
    <w:rsid w:val="00726125"/>
    <w:rsid w:val="0073383A"/>
    <w:rsid w:val="007346D7"/>
    <w:rsid w:val="00745686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87A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5FA"/>
    <w:rsid w:val="009167C3"/>
    <w:rsid w:val="0092158E"/>
    <w:rsid w:val="00921B2B"/>
    <w:rsid w:val="00925696"/>
    <w:rsid w:val="00933B04"/>
    <w:rsid w:val="00943723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3341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C6224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1D4AD"/>
  <w15:docId w15:val="{25B85C59-9644-4C24-B672-32FA7B64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969A-A84E-4858-8E5B-6898DF72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6342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creator>Zvonko Popovic</dc:creator>
  <cp:lastModifiedBy>Marija Kovacevic</cp:lastModifiedBy>
  <cp:revision>3</cp:revision>
  <cp:lastPrinted>1900-12-31T23:00:00Z</cp:lastPrinted>
  <dcterms:created xsi:type="dcterms:W3CDTF">2018-12-04T09:48:00Z</dcterms:created>
  <dcterms:modified xsi:type="dcterms:W3CDTF">2018-12-04T10:46:00Z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