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1A8DA" w14:textId="2D001F45" w:rsidR="00CA16E9" w:rsidRPr="00AD33CF" w:rsidRDefault="00CA16E9" w:rsidP="00C72244">
      <w:pPr>
        <w:pStyle w:val="Title"/>
        <w:rPr>
          <w:rFonts w:eastAsiaTheme="minorHAnsi"/>
          <w:sz w:val="22"/>
          <w:szCs w:val="22"/>
        </w:rPr>
      </w:pPr>
    </w:p>
    <w:p w14:paraId="28B32F49" w14:textId="77777777" w:rsidR="00221EAD" w:rsidRDefault="00221EAD" w:rsidP="00221EAD">
      <w:pPr>
        <w:jc w:val="center"/>
        <w:rPr>
          <w:rFonts w:eastAsiaTheme="minorHAnsi"/>
        </w:rPr>
      </w:pPr>
    </w:p>
    <w:p w14:paraId="08658AB8" w14:textId="77777777" w:rsidR="00221EAD" w:rsidRDefault="00221EAD" w:rsidP="00221EAD">
      <w:pPr>
        <w:jc w:val="center"/>
        <w:rPr>
          <w:rFonts w:eastAsiaTheme="minorHAnsi"/>
        </w:rPr>
      </w:pPr>
    </w:p>
    <w:p w14:paraId="65518356" w14:textId="77777777" w:rsidR="00221EAD" w:rsidRDefault="00221EAD" w:rsidP="00221EAD">
      <w:pPr>
        <w:jc w:val="center"/>
        <w:rPr>
          <w:rFonts w:eastAsiaTheme="minorHAnsi"/>
        </w:rPr>
      </w:pPr>
    </w:p>
    <w:p w14:paraId="3939330F" w14:textId="77777777" w:rsidR="00221EAD" w:rsidRDefault="00221EAD" w:rsidP="00221EAD">
      <w:pPr>
        <w:jc w:val="center"/>
        <w:rPr>
          <w:rFonts w:eastAsiaTheme="minorHAnsi"/>
        </w:rPr>
      </w:pPr>
    </w:p>
    <w:p w14:paraId="2825A190" w14:textId="77777777" w:rsidR="00221EAD" w:rsidRDefault="00221EAD" w:rsidP="00221EAD">
      <w:pPr>
        <w:jc w:val="center"/>
        <w:rPr>
          <w:rFonts w:eastAsiaTheme="minorHAnsi"/>
        </w:rPr>
      </w:pPr>
    </w:p>
    <w:p w14:paraId="487772AD" w14:textId="77777777" w:rsidR="00221EAD" w:rsidRDefault="00221EAD" w:rsidP="00221EAD">
      <w:pPr>
        <w:jc w:val="center"/>
        <w:rPr>
          <w:rFonts w:eastAsiaTheme="minorHAnsi"/>
        </w:rPr>
      </w:pPr>
    </w:p>
    <w:p w14:paraId="4C5A7BED" w14:textId="77777777" w:rsidR="00221EAD" w:rsidRDefault="00221EAD" w:rsidP="00221EAD">
      <w:pPr>
        <w:jc w:val="center"/>
        <w:rPr>
          <w:rFonts w:eastAsiaTheme="minorHAnsi"/>
        </w:rPr>
      </w:pPr>
    </w:p>
    <w:p w14:paraId="6862FED5" w14:textId="77777777" w:rsidR="00221EAD" w:rsidRDefault="00221EAD" w:rsidP="00221EAD">
      <w:pPr>
        <w:jc w:val="center"/>
        <w:rPr>
          <w:rFonts w:eastAsiaTheme="minorHAnsi"/>
        </w:rPr>
      </w:pPr>
    </w:p>
    <w:p w14:paraId="1C59B682" w14:textId="77777777" w:rsidR="00221EAD" w:rsidRDefault="00221EAD" w:rsidP="00221EAD">
      <w:pPr>
        <w:jc w:val="center"/>
        <w:rPr>
          <w:rFonts w:eastAsiaTheme="minorHAnsi"/>
        </w:rPr>
      </w:pPr>
    </w:p>
    <w:p w14:paraId="676FC4C8" w14:textId="77777777" w:rsidR="00221EAD" w:rsidRDefault="00221EAD" w:rsidP="00221EAD">
      <w:pPr>
        <w:jc w:val="center"/>
        <w:rPr>
          <w:rFonts w:eastAsiaTheme="minorHAnsi"/>
        </w:rPr>
      </w:pPr>
    </w:p>
    <w:p w14:paraId="49AD583F" w14:textId="77777777" w:rsidR="00221EAD" w:rsidRDefault="00221EAD" w:rsidP="00221EAD">
      <w:pPr>
        <w:jc w:val="center"/>
        <w:rPr>
          <w:rFonts w:eastAsiaTheme="minorHAnsi"/>
        </w:rPr>
      </w:pPr>
    </w:p>
    <w:p w14:paraId="7F7E7E8E" w14:textId="77777777" w:rsidR="00221EAD" w:rsidRPr="00221EAD" w:rsidRDefault="00221EAD" w:rsidP="00221EAD">
      <w:pPr>
        <w:spacing w:after="0" w:line="240" w:lineRule="auto"/>
        <w:contextualSpacing/>
        <w:jc w:val="center"/>
        <w:rPr>
          <w:rFonts w:asciiTheme="majorHAnsi" w:eastAsiaTheme="minorHAnsi" w:hAnsiTheme="majorHAnsi" w:cstheme="majorBidi"/>
          <w:color w:val="000000" w:themeColor="text1"/>
          <w:sz w:val="56"/>
          <w:szCs w:val="56"/>
        </w:rPr>
      </w:pPr>
      <w:r w:rsidRPr="00221EAD">
        <w:rPr>
          <w:rFonts w:asciiTheme="majorHAnsi" w:eastAsiaTheme="minorHAnsi" w:hAnsiTheme="majorHAnsi" w:cstheme="majorBidi"/>
          <w:color w:val="000000" w:themeColor="text1"/>
          <w:sz w:val="56"/>
          <w:szCs w:val="56"/>
        </w:rPr>
        <w:t xml:space="preserve">National Accounts Revision Policy - Statistical Office of the Republic of Serbia </w:t>
      </w:r>
    </w:p>
    <w:p w14:paraId="39F512A8" w14:textId="58297654" w:rsidR="00221EAD" w:rsidRDefault="00221EAD" w:rsidP="00221EAD">
      <w:pPr>
        <w:jc w:val="center"/>
        <w:rPr>
          <w:rFonts w:asciiTheme="majorHAnsi" w:eastAsiaTheme="minorHAnsi" w:hAnsiTheme="majorHAnsi" w:cstheme="majorBidi"/>
          <w:color w:val="000000" w:themeColor="text1"/>
        </w:rPr>
      </w:pPr>
      <w:r>
        <w:rPr>
          <w:rFonts w:eastAsiaTheme="minorHAnsi"/>
        </w:rPr>
        <w:br w:type="page"/>
      </w:r>
    </w:p>
    <w:p w14:paraId="390364C9" w14:textId="77777777" w:rsidR="00422833" w:rsidRPr="00AD33CF" w:rsidRDefault="00422833" w:rsidP="00286904">
      <w:pPr>
        <w:pStyle w:val="Title"/>
        <w:jc w:val="center"/>
        <w:rPr>
          <w:rFonts w:eastAsiaTheme="minorHAnsi"/>
          <w:sz w:val="22"/>
          <w:szCs w:val="22"/>
        </w:rPr>
      </w:pPr>
    </w:p>
    <w:p w14:paraId="1A7098D4" w14:textId="6CA3BF8D" w:rsidR="004476DB" w:rsidRPr="00AD33CF" w:rsidRDefault="004476DB" w:rsidP="004476DB">
      <w:pPr>
        <w:rPr>
          <w:rFonts w:eastAsiaTheme="minorHAnsi"/>
        </w:rPr>
      </w:pPr>
    </w:p>
    <w:p w14:paraId="60F86973" w14:textId="34F249E7" w:rsidR="004476DB" w:rsidRPr="00AD33CF" w:rsidRDefault="004476DB" w:rsidP="004476DB">
      <w:pPr>
        <w:rPr>
          <w:rFonts w:eastAsiaTheme="minorHAnsi"/>
        </w:rPr>
      </w:pPr>
    </w:p>
    <w:p w14:paraId="4E09F6B0" w14:textId="77777777" w:rsidR="004476DB" w:rsidRPr="00AD33CF" w:rsidRDefault="004476DB" w:rsidP="004476DB">
      <w:pPr>
        <w:rPr>
          <w:rFonts w:eastAsiaTheme="minorHAnsi"/>
        </w:rPr>
      </w:pPr>
    </w:p>
    <w:p w14:paraId="7DE20CED" w14:textId="6416CAA5" w:rsidR="004476DB" w:rsidRPr="00AD33CF" w:rsidRDefault="004476DB" w:rsidP="004476DB">
      <w:pPr>
        <w:rPr>
          <w:rFonts w:eastAsiaTheme="minorHAnsi"/>
        </w:rPr>
      </w:pPr>
    </w:p>
    <w:p w14:paraId="48B90E49" w14:textId="7E65E753" w:rsidR="004476DB" w:rsidRPr="00AD33CF" w:rsidRDefault="004476DB" w:rsidP="004476DB">
      <w:pPr>
        <w:rPr>
          <w:rFonts w:eastAsiaTheme="minorHAnsi"/>
        </w:rPr>
      </w:pPr>
    </w:p>
    <w:p w14:paraId="417204A5" w14:textId="3E929375" w:rsidR="004476DB" w:rsidRPr="00AD33CF" w:rsidRDefault="004476DB" w:rsidP="004476DB">
      <w:pPr>
        <w:rPr>
          <w:rFonts w:asciiTheme="majorHAnsi" w:eastAsiaTheme="minorHAnsi" w:hAnsiTheme="majorHAnsi" w:cstheme="majorBidi"/>
          <w:color w:val="000000" w:themeColor="text1"/>
          <w:sz w:val="56"/>
          <w:szCs w:val="56"/>
        </w:rPr>
      </w:pPr>
    </w:p>
    <w:sdt>
      <w:sdtPr>
        <w:rPr>
          <w:rFonts w:asciiTheme="minorHAnsi" w:eastAsiaTheme="minorEastAsia" w:hAnsiTheme="minorHAnsi" w:cstheme="minorBidi"/>
          <w:b w:val="0"/>
          <w:bCs w:val="0"/>
          <w:smallCaps w:val="0"/>
          <w:color w:val="auto"/>
          <w:sz w:val="22"/>
          <w:szCs w:val="22"/>
        </w:rPr>
        <w:id w:val="406650368"/>
        <w:docPartObj>
          <w:docPartGallery w:val="Table of Contents"/>
          <w:docPartUnique/>
        </w:docPartObj>
      </w:sdtPr>
      <w:sdtEndPr>
        <w:rPr>
          <w:noProof/>
        </w:rPr>
      </w:sdtEndPr>
      <w:sdtContent>
        <w:p w14:paraId="4C8AF5DC" w14:textId="77777777" w:rsidR="008775ED" w:rsidRPr="00AD33CF" w:rsidRDefault="008775ED" w:rsidP="00E31115">
          <w:pPr>
            <w:pStyle w:val="TOCHeading"/>
            <w:numPr>
              <w:ilvl w:val="0"/>
              <w:numId w:val="0"/>
            </w:numPr>
            <w:ind w:left="432"/>
            <w:rPr>
              <w:sz w:val="28"/>
              <w:szCs w:val="28"/>
            </w:rPr>
          </w:pPr>
          <w:r w:rsidRPr="00AD33CF">
            <w:rPr>
              <w:sz w:val="28"/>
              <w:szCs w:val="28"/>
            </w:rPr>
            <w:t>Cont</w:t>
          </w:r>
          <w:bookmarkStart w:id="0" w:name="_GoBack"/>
          <w:bookmarkEnd w:id="0"/>
          <w:r w:rsidRPr="00AD33CF">
            <w:rPr>
              <w:sz w:val="28"/>
              <w:szCs w:val="28"/>
            </w:rPr>
            <w:t>ents</w:t>
          </w:r>
        </w:p>
        <w:p w14:paraId="2D0C6810" w14:textId="463E6D8B" w:rsidR="006E16E0" w:rsidRDefault="008775ED">
          <w:pPr>
            <w:pStyle w:val="TOC1"/>
            <w:rPr>
              <w:noProof/>
            </w:rPr>
          </w:pPr>
          <w:r w:rsidRPr="00AD33CF">
            <w:fldChar w:fldCharType="begin"/>
          </w:r>
          <w:r w:rsidRPr="00AD33CF">
            <w:instrText xml:space="preserve"> TOC \o "1-3" \h \z \u </w:instrText>
          </w:r>
          <w:r w:rsidRPr="00AD33CF">
            <w:fldChar w:fldCharType="separate"/>
          </w:r>
          <w:hyperlink w:anchor="_Toc141874692" w:history="1">
            <w:r w:rsidR="006E16E0" w:rsidRPr="00000280">
              <w:rPr>
                <w:rStyle w:val="Hyperlink"/>
                <w:rFonts w:eastAsiaTheme="minorHAnsi"/>
                <w:noProof/>
              </w:rPr>
              <w:t>1</w:t>
            </w:r>
            <w:r w:rsidR="006E16E0">
              <w:rPr>
                <w:noProof/>
              </w:rPr>
              <w:tab/>
            </w:r>
            <w:r w:rsidR="006E16E0" w:rsidRPr="00000280">
              <w:rPr>
                <w:rStyle w:val="Hyperlink"/>
                <w:rFonts w:eastAsiaTheme="minorHAnsi"/>
                <w:noProof/>
              </w:rPr>
              <w:t>Introduction</w:t>
            </w:r>
            <w:r w:rsidR="006E16E0">
              <w:rPr>
                <w:noProof/>
                <w:webHidden/>
              </w:rPr>
              <w:tab/>
            </w:r>
            <w:r w:rsidR="006E16E0">
              <w:rPr>
                <w:noProof/>
                <w:webHidden/>
              </w:rPr>
              <w:fldChar w:fldCharType="begin"/>
            </w:r>
            <w:r w:rsidR="006E16E0">
              <w:rPr>
                <w:noProof/>
                <w:webHidden/>
              </w:rPr>
              <w:instrText xml:space="preserve"> PAGEREF _Toc141874692 \h </w:instrText>
            </w:r>
            <w:r w:rsidR="006E16E0">
              <w:rPr>
                <w:noProof/>
                <w:webHidden/>
              </w:rPr>
            </w:r>
            <w:r w:rsidR="006E16E0">
              <w:rPr>
                <w:noProof/>
                <w:webHidden/>
              </w:rPr>
              <w:fldChar w:fldCharType="separate"/>
            </w:r>
            <w:r w:rsidR="00291D13">
              <w:rPr>
                <w:noProof/>
                <w:webHidden/>
              </w:rPr>
              <w:t>3</w:t>
            </w:r>
            <w:r w:rsidR="006E16E0">
              <w:rPr>
                <w:noProof/>
                <w:webHidden/>
              </w:rPr>
              <w:fldChar w:fldCharType="end"/>
            </w:r>
          </w:hyperlink>
        </w:p>
        <w:p w14:paraId="50010627" w14:textId="08A628E6" w:rsidR="006E16E0" w:rsidRDefault="00E471CC">
          <w:pPr>
            <w:pStyle w:val="TOC1"/>
            <w:rPr>
              <w:noProof/>
            </w:rPr>
          </w:pPr>
          <w:hyperlink w:anchor="_Toc141874693" w:history="1">
            <w:r w:rsidR="006E16E0" w:rsidRPr="00000280">
              <w:rPr>
                <w:rStyle w:val="Hyperlink"/>
                <w:rFonts w:eastAsiaTheme="minorHAnsi"/>
                <w:noProof/>
              </w:rPr>
              <w:t>2</w:t>
            </w:r>
            <w:r w:rsidR="006E16E0">
              <w:rPr>
                <w:noProof/>
              </w:rPr>
              <w:tab/>
            </w:r>
            <w:r w:rsidR="006E16E0" w:rsidRPr="00000280">
              <w:rPr>
                <w:rStyle w:val="Hyperlink"/>
                <w:rFonts w:eastAsiaTheme="minorHAnsi"/>
                <w:noProof/>
              </w:rPr>
              <w:t>Release calendar</w:t>
            </w:r>
            <w:r w:rsidR="006E16E0">
              <w:rPr>
                <w:noProof/>
                <w:webHidden/>
              </w:rPr>
              <w:tab/>
            </w:r>
            <w:r w:rsidR="006E16E0">
              <w:rPr>
                <w:noProof/>
                <w:webHidden/>
              </w:rPr>
              <w:fldChar w:fldCharType="begin"/>
            </w:r>
            <w:r w:rsidR="006E16E0">
              <w:rPr>
                <w:noProof/>
                <w:webHidden/>
              </w:rPr>
              <w:instrText xml:space="preserve"> PAGEREF _Toc141874693 \h </w:instrText>
            </w:r>
            <w:r w:rsidR="006E16E0">
              <w:rPr>
                <w:noProof/>
                <w:webHidden/>
              </w:rPr>
            </w:r>
            <w:r w:rsidR="006E16E0">
              <w:rPr>
                <w:noProof/>
                <w:webHidden/>
              </w:rPr>
              <w:fldChar w:fldCharType="separate"/>
            </w:r>
            <w:r w:rsidR="00291D13">
              <w:rPr>
                <w:noProof/>
                <w:webHidden/>
              </w:rPr>
              <w:t>4</w:t>
            </w:r>
            <w:r w:rsidR="006E16E0">
              <w:rPr>
                <w:noProof/>
                <w:webHidden/>
              </w:rPr>
              <w:fldChar w:fldCharType="end"/>
            </w:r>
          </w:hyperlink>
        </w:p>
        <w:p w14:paraId="5255E5ED" w14:textId="48CC945F" w:rsidR="006E16E0" w:rsidRDefault="00E471CC">
          <w:pPr>
            <w:pStyle w:val="TOC1"/>
            <w:rPr>
              <w:noProof/>
            </w:rPr>
          </w:pPr>
          <w:hyperlink w:anchor="_Toc141874694" w:history="1">
            <w:r w:rsidR="006E16E0" w:rsidRPr="00000280">
              <w:rPr>
                <w:rStyle w:val="Hyperlink"/>
                <w:rFonts w:eastAsiaTheme="minorHAnsi"/>
                <w:noProof/>
              </w:rPr>
              <w:t>3</w:t>
            </w:r>
            <w:r w:rsidR="006E16E0">
              <w:rPr>
                <w:noProof/>
              </w:rPr>
              <w:tab/>
            </w:r>
            <w:r w:rsidR="006E16E0" w:rsidRPr="00000280">
              <w:rPr>
                <w:rStyle w:val="Hyperlink"/>
                <w:rFonts w:eastAsiaTheme="minorHAnsi"/>
                <w:noProof/>
              </w:rPr>
              <w:t>Routine revisions (Current revisions)</w:t>
            </w:r>
            <w:r w:rsidR="006E16E0">
              <w:rPr>
                <w:noProof/>
                <w:webHidden/>
              </w:rPr>
              <w:tab/>
            </w:r>
            <w:r w:rsidR="006E16E0">
              <w:rPr>
                <w:noProof/>
                <w:webHidden/>
              </w:rPr>
              <w:fldChar w:fldCharType="begin"/>
            </w:r>
            <w:r w:rsidR="006E16E0">
              <w:rPr>
                <w:noProof/>
                <w:webHidden/>
              </w:rPr>
              <w:instrText xml:space="preserve"> PAGEREF _Toc141874694 \h </w:instrText>
            </w:r>
            <w:r w:rsidR="006E16E0">
              <w:rPr>
                <w:noProof/>
                <w:webHidden/>
              </w:rPr>
            </w:r>
            <w:r w:rsidR="006E16E0">
              <w:rPr>
                <w:noProof/>
                <w:webHidden/>
              </w:rPr>
              <w:fldChar w:fldCharType="separate"/>
            </w:r>
            <w:r w:rsidR="00291D13">
              <w:rPr>
                <w:noProof/>
                <w:webHidden/>
              </w:rPr>
              <w:t>6</w:t>
            </w:r>
            <w:r w:rsidR="006E16E0">
              <w:rPr>
                <w:noProof/>
                <w:webHidden/>
              </w:rPr>
              <w:fldChar w:fldCharType="end"/>
            </w:r>
          </w:hyperlink>
        </w:p>
        <w:p w14:paraId="4462942F" w14:textId="18C8ACF9" w:rsidR="006E16E0" w:rsidRDefault="00E471CC">
          <w:pPr>
            <w:pStyle w:val="TOC1"/>
            <w:rPr>
              <w:noProof/>
            </w:rPr>
          </w:pPr>
          <w:hyperlink w:anchor="_Toc141874695" w:history="1">
            <w:r w:rsidR="006E16E0" w:rsidRPr="00000280">
              <w:rPr>
                <w:rStyle w:val="Hyperlink"/>
                <w:noProof/>
              </w:rPr>
              <w:t>4</w:t>
            </w:r>
            <w:r w:rsidR="006E16E0">
              <w:rPr>
                <w:noProof/>
              </w:rPr>
              <w:tab/>
            </w:r>
            <w:r w:rsidR="006E16E0" w:rsidRPr="00000280">
              <w:rPr>
                <w:rStyle w:val="Hyperlink"/>
                <w:noProof/>
              </w:rPr>
              <w:t>Major regular revisions (or benchmark revisions)</w:t>
            </w:r>
            <w:r w:rsidR="006E16E0">
              <w:rPr>
                <w:noProof/>
                <w:webHidden/>
              </w:rPr>
              <w:tab/>
            </w:r>
            <w:r w:rsidR="006E16E0">
              <w:rPr>
                <w:noProof/>
                <w:webHidden/>
              </w:rPr>
              <w:fldChar w:fldCharType="begin"/>
            </w:r>
            <w:r w:rsidR="006E16E0">
              <w:rPr>
                <w:noProof/>
                <w:webHidden/>
              </w:rPr>
              <w:instrText xml:space="preserve"> PAGEREF _Toc141874695 \h </w:instrText>
            </w:r>
            <w:r w:rsidR="006E16E0">
              <w:rPr>
                <w:noProof/>
                <w:webHidden/>
              </w:rPr>
            </w:r>
            <w:r w:rsidR="006E16E0">
              <w:rPr>
                <w:noProof/>
                <w:webHidden/>
              </w:rPr>
              <w:fldChar w:fldCharType="separate"/>
            </w:r>
            <w:r w:rsidR="00291D13">
              <w:rPr>
                <w:noProof/>
                <w:webHidden/>
              </w:rPr>
              <w:t>8</w:t>
            </w:r>
            <w:r w:rsidR="006E16E0">
              <w:rPr>
                <w:noProof/>
                <w:webHidden/>
              </w:rPr>
              <w:fldChar w:fldCharType="end"/>
            </w:r>
          </w:hyperlink>
        </w:p>
        <w:p w14:paraId="14DB95CF" w14:textId="58A0CDC6" w:rsidR="006E16E0" w:rsidRDefault="00E471CC">
          <w:pPr>
            <w:pStyle w:val="TOC1"/>
            <w:rPr>
              <w:noProof/>
            </w:rPr>
          </w:pPr>
          <w:hyperlink w:anchor="_Toc141874696" w:history="1">
            <w:r w:rsidR="006E16E0" w:rsidRPr="00000280">
              <w:rPr>
                <w:rStyle w:val="Hyperlink"/>
                <w:noProof/>
              </w:rPr>
              <w:t>5</w:t>
            </w:r>
            <w:r w:rsidR="006E16E0">
              <w:rPr>
                <w:noProof/>
              </w:rPr>
              <w:tab/>
            </w:r>
            <w:r w:rsidR="006E16E0" w:rsidRPr="00000280">
              <w:rPr>
                <w:rStyle w:val="Hyperlink"/>
                <w:noProof/>
              </w:rPr>
              <w:t>Irregular (non-scheduled) revisions</w:t>
            </w:r>
            <w:r w:rsidR="006E16E0">
              <w:rPr>
                <w:noProof/>
                <w:webHidden/>
              </w:rPr>
              <w:tab/>
            </w:r>
            <w:r w:rsidR="006E16E0">
              <w:rPr>
                <w:noProof/>
                <w:webHidden/>
              </w:rPr>
              <w:fldChar w:fldCharType="begin"/>
            </w:r>
            <w:r w:rsidR="006E16E0">
              <w:rPr>
                <w:noProof/>
                <w:webHidden/>
              </w:rPr>
              <w:instrText xml:space="preserve"> PAGEREF _Toc141874696 \h </w:instrText>
            </w:r>
            <w:r w:rsidR="006E16E0">
              <w:rPr>
                <w:noProof/>
                <w:webHidden/>
              </w:rPr>
            </w:r>
            <w:r w:rsidR="006E16E0">
              <w:rPr>
                <w:noProof/>
                <w:webHidden/>
              </w:rPr>
              <w:fldChar w:fldCharType="separate"/>
            </w:r>
            <w:r w:rsidR="00291D13">
              <w:rPr>
                <w:noProof/>
                <w:webHidden/>
              </w:rPr>
              <w:t>10</w:t>
            </w:r>
            <w:r w:rsidR="006E16E0">
              <w:rPr>
                <w:noProof/>
                <w:webHidden/>
              </w:rPr>
              <w:fldChar w:fldCharType="end"/>
            </w:r>
          </w:hyperlink>
        </w:p>
        <w:p w14:paraId="44721467" w14:textId="0C0814A3" w:rsidR="008775ED" w:rsidRPr="00AD33CF" w:rsidRDefault="008775ED" w:rsidP="004476DB">
          <w:r w:rsidRPr="00AD33CF">
            <w:rPr>
              <w:b/>
              <w:bCs/>
              <w:noProof/>
            </w:rPr>
            <w:fldChar w:fldCharType="end"/>
          </w:r>
        </w:p>
      </w:sdtContent>
    </w:sdt>
    <w:p w14:paraId="67858251" w14:textId="77777777" w:rsidR="008775ED" w:rsidRPr="00AD33CF" w:rsidRDefault="008775ED" w:rsidP="008775ED">
      <w:pPr>
        <w:spacing w:after="0" w:line="276" w:lineRule="auto"/>
        <w:jc w:val="both"/>
        <w:rPr>
          <w:rFonts w:ascii="Arial" w:eastAsiaTheme="minorHAnsi" w:hAnsi="Arial" w:cstheme="majorHAnsi"/>
          <w:b/>
          <w:sz w:val="24"/>
          <w:szCs w:val="24"/>
        </w:rPr>
      </w:pPr>
    </w:p>
    <w:p w14:paraId="07E54189" w14:textId="77777777" w:rsidR="008775ED" w:rsidRPr="00AD33CF" w:rsidRDefault="008775ED" w:rsidP="008775ED">
      <w:pPr>
        <w:spacing w:after="0" w:line="276" w:lineRule="auto"/>
        <w:jc w:val="both"/>
        <w:rPr>
          <w:rFonts w:ascii="Arial" w:eastAsiaTheme="minorHAnsi" w:hAnsi="Arial" w:cstheme="majorHAnsi"/>
          <w:b/>
          <w:sz w:val="24"/>
          <w:szCs w:val="24"/>
        </w:rPr>
      </w:pPr>
    </w:p>
    <w:p w14:paraId="010FCBA9" w14:textId="77777777" w:rsidR="008775ED" w:rsidRPr="00AD33CF" w:rsidRDefault="008775ED" w:rsidP="008775ED">
      <w:pPr>
        <w:spacing w:after="0" w:line="276" w:lineRule="auto"/>
        <w:jc w:val="both"/>
        <w:rPr>
          <w:rFonts w:ascii="Arial" w:eastAsiaTheme="minorHAnsi" w:hAnsi="Arial" w:cstheme="majorHAnsi"/>
          <w:b/>
          <w:sz w:val="24"/>
          <w:szCs w:val="24"/>
        </w:rPr>
      </w:pPr>
    </w:p>
    <w:p w14:paraId="5604D049" w14:textId="77777777" w:rsidR="008775ED" w:rsidRPr="00AD33CF" w:rsidRDefault="008775ED" w:rsidP="008775ED">
      <w:pPr>
        <w:spacing w:after="0" w:line="276" w:lineRule="auto"/>
        <w:jc w:val="both"/>
        <w:rPr>
          <w:rFonts w:ascii="Arial" w:eastAsiaTheme="minorHAnsi" w:hAnsi="Arial" w:cstheme="majorHAnsi"/>
          <w:b/>
          <w:sz w:val="24"/>
          <w:szCs w:val="24"/>
        </w:rPr>
      </w:pPr>
    </w:p>
    <w:p w14:paraId="11B75BB6" w14:textId="77777777" w:rsidR="008775ED" w:rsidRPr="00AD33CF" w:rsidRDefault="008775ED" w:rsidP="008775ED">
      <w:pPr>
        <w:spacing w:after="0" w:line="276" w:lineRule="auto"/>
        <w:jc w:val="both"/>
        <w:rPr>
          <w:rFonts w:ascii="Arial" w:eastAsiaTheme="minorHAnsi" w:hAnsi="Arial" w:cstheme="majorHAnsi"/>
          <w:b/>
          <w:sz w:val="24"/>
          <w:szCs w:val="24"/>
        </w:rPr>
      </w:pPr>
    </w:p>
    <w:p w14:paraId="4246163B" w14:textId="77777777" w:rsidR="008775ED" w:rsidRPr="00AD33CF" w:rsidRDefault="008775ED" w:rsidP="008775ED">
      <w:pPr>
        <w:spacing w:after="0" w:line="276" w:lineRule="auto"/>
        <w:jc w:val="both"/>
        <w:rPr>
          <w:rFonts w:ascii="Arial" w:eastAsiaTheme="minorHAnsi" w:hAnsi="Arial" w:cstheme="majorHAnsi"/>
          <w:b/>
          <w:sz w:val="24"/>
          <w:szCs w:val="24"/>
        </w:rPr>
      </w:pPr>
    </w:p>
    <w:p w14:paraId="15CFA95B" w14:textId="77777777" w:rsidR="008775ED" w:rsidRPr="00AD33CF" w:rsidRDefault="008775ED" w:rsidP="008775ED">
      <w:pPr>
        <w:spacing w:after="0" w:line="276" w:lineRule="auto"/>
        <w:jc w:val="both"/>
        <w:rPr>
          <w:rFonts w:ascii="Arial" w:eastAsiaTheme="minorHAnsi" w:hAnsi="Arial" w:cstheme="majorHAnsi"/>
          <w:b/>
          <w:sz w:val="24"/>
          <w:szCs w:val="24"/>
        </w:rPr>
      </w:pPr>
    </w:p>
    <w:p w14:paraId="5AA0CC51" w14:textId="77777777" w:rsidR="008775ED" w:rsidRPr="00AD33CF" w:rsidRDefault="008775ED" w:rsidP="008775ED">
      <w:pPr>
        <w:spacing w:after="0" w:line="276" w:lineRule="auto"/>
        <w:jc w:val="both"/>
        <w:rPr>
          <w:rFonts w:ascii="Arial" w:eastAsiaTheme="minorHAnsi" w:hAnsi="Arial" w:cstheme="majorHAnsi"/>
          <w:b/>
          <w:sz w:val="24"/>
          <w:szCs w:val="24"/>
        </w:rPr>
      </w:pPr>
    </w:p>
    <w:p w14:paraId="65CB2B78" w14:textId="77777777" w:rsidR="008775ED" w:rsidRPr="00AD33CF" w:rsidRDefault="008775ED" w:rsidP="008775ED">
      <w:pPr>
        <w:spacing w:after="0" w:line="276" w:lineRule="auto"/>
        <w:jc w:val="both"/>
        <w:rPr>
          <w:rFonts w:ascii="Arial" w:eastAsiaTheme="minorHAnsi" w:hAnsi="Arial" w:cstheme="majorHAnsi"/>
          <w:b/>
          <w:sz w:val="24"/>
          <w:szCs w:val="24"/>
        </w:rPr>
      </w:pPr>
    </w:p>
    <w:p w14:paraId="3E4F97F3" w14:textId="77777777" w:rsidR="008775ED" w:rsidRPr="00AD33CF" w:rsidRDefault="008775ED" w:rsidP="008775ED">
      <w:pPr>
        <w:spacing w:after="0" w:line="276" w:lineRule="auto"/>
        <w:jc w:val="both"/>
        <w:rPr>
          <w:rFonts w:ascii="Arial" w:eastAsiaTheme="minorHAnsi" w:hAnsi="Arial" w:cstheme="majorHAnsi"/>
          <w:b/>
          <w:sz w:val="24"/>
          <w:szCs w:val="24"/>
        </w:rPr>
      </w:pPr>
    </w:p>
    <w:p w14:paraId="0E851AB3" w14:textId="77777777" w:rsidR="008775ED" w:rsidRPr="00AD33CF" w:rsidRDefault="008775ED" w:rsidP="008775ED">
      <w:pPr>
        <w:spacing w:after="0" w:line="276" w:lineRule="auto"/>
        <w:jc w:val="both"/>
        <w:rPr>
          <w:rFonts w:ascii="Arial" w:eastAsiaTheme="minorHAnsi" w:hAnsi="Arial" w:cstheme="majorHAnsi"/>
          <w:b/>
          <w:sz w:val="24"/>
          <w:szCs w:val="24"/>
        </w:rPr>
      </w:pPr>
    </w:p>
    <w:p w14:paraId="2646604D" w14:textId="6987D96D" w:rsidR="008775ED" w:rsidRPr="00AD33CF" w:rsidRDefault="008775ED" w:rsidP="008775ED">
      <w:pPr>
        <w:spacing w:after="0" w:line="276" w:lineRule="auto"/>
        <w:jc w:val="both"/>
        <w:rPr>
          <w:rFonts w:ascii="Arial" w:eastAsiaTheme="minorHAnsi" w:hAnsi="Arial" w:cstheme="majorHAnsi"/>
          <w:b/>
          <w:sz w:val="24"/>
          <w:szCs w:val="24"/>
        </w:rPr>
      </w:pPr>
    </w:p>
    <w:p w14:paraId="1BAD1047" w14:textId="69D7304A" w:rsidR="004476DB" w:rsidRPr="00AD33CF" w:rsidRDefault="004476DB" w:rsidP="008775ED">
      <w:pPr>
        <w:spacing w:after="0" w:line="276" w:lineRule="auto"/>
        <w:jc w:val="both"/>
        <w:rPr>
          <w:rFonts w:ascii="Arial" w:eastAsiaTheme="minorHAnsi" w:hAnsi="Arial" w:cstheme="majorHAnsi"/>
          <w:b/>
          <w:sz w:val="24"/>
          <w:szCs w:val="24"/>
        </w:rPr>
      </w:pPr>
    </w:p>
    <w:p w14:paraId="7F646FB4" w14:textId="7503FE85" w:rsidR="00E3064E" w:rsidRPr="00AD33CF" w:rsidRDefault="00E3064E" w:rsidP="008775ED">
      <w:pPr>
        <w:spacing w:after="0" w:line="276" w:lineRule="auto"/>
        <w:jc w:val="both"/>
        <w:rPr>
          <w:rFonts w:ascii="Arial" w:eastAsiaTheme="minorHAnsi" w:hAnsi="Arial" w:cstheme="majorHAnsi"/>
          <w:b/>
          <w:sz w:val="24"/>
          <w:szCs w:val="24"/>
        </w:rPr>
      </w:pPr>
    </w:p>
    <w:p w14:paraId="3548289B" w14:textId="235B449C" w:rsidR="00E3064E" w:rsidRPr="00AD33CF" w:rsidRDefault="00E3064E" w:rsidP="008775ED">
      <w:pPr>
        <w:spacing w:after="0" w:line="276" w:lineRule="auto"/>
        <w:jc w:val="both"/>
        <w:rPr>
          <w:rFonts w:ascii="Arial" w:eastAsiaTheme="minorHAnsi" w:hAnsi="Arial" w:cstheme="majorHAnsi"/>
          <w:b/>
          <w:sz w:val="24"/>
          <w:szCs w:val="24"/>
        </w:rPr>
      </w:pPr>
    </w:p>
    <w:p w14:paraId="7F63CCF1" w14:textId="77777777" w:rsidR="00E3064E" w:rsidRPr="00AD33CF" w:rsidRDefault="00E3064E" w:rsidP="008775ED">
      <w:pPr>
        <w:spacing w:after="0" w:line="276" w:lineRule="auto"/>
        <w:jc w:val="both"/>
        <w:rPr>
          <w:rFonts w:ascii="Arial" w:eastAsiaTheme="minorHAnsi" w:hAnsi="Arial" w:cstheme="majorHAnsi"/>
          <w:b/>
          <w:sz w:val="24"/>
          <w:szCs w:val="24"/>
        </w:rPr>
      </w:pPr>
    </w:p>
    <w:p w14:paraId="2FD92268" w14:textId="720A89B9" w:rsidR="008775ED" w:rsidRPr="00AD33CF" w:rsidRDefault="008775ED" w:rsidP="008775ED">
      <w:pPr>
        <w:spacing w:after="0" w:line="276" w:lineRule="auto"/>
        <w:jc w:val="both"/>
        <w:rPr>
          <w:rFonts w:ascii="Arial" w:eastAsiaTheme="minorHAnsi" w:hAnsi="Arial" w:cstheme="majorHAnsi"/>
          <w:b/>
          <w:sz w:val="24"/>
          <w:szCs w:val="24"/>
        </w:rPr>
      </w:pPr>
    </w:p>
    <w:p w14:paraId="19526A68" w14:textId="77FAF29E" w:rsidR="00CA16E9" w:rsidRPr="00AD33CF" w:rsidRDefault="00CA16E9" w:rsidP="008775ED">
      <w:pPr>
        <w:spacing w:after="0" w:line="276" w:lineRule="auto"/>
        <w:jc w:val="both"/>
        <w:rPr>
          <w:rFonts w:ascii="Arial" w:eastAsiaTheme="minorHAnsi" w:hAnsi="Arial" w:cstheme="majorHAnsi"/>
          <w:b/>
          <w:sz w:val="24"/>
          <w:szCs w:val="24"/>
        </w:rPr>
      </w:pPr>
    </w:p>
    <w:p w14:paraId="713A9FFD" w14:textId="6DDEBEFD" w:rsidR="00286904" w:rsidRPr="00AD33CF" w:rsidRDefault="00286904" w:rsidP="008775ED">
      <w:pPr>
        <w:spacing w:after="0" w:line="276" w:lineRule="auto"/>
        <w:jc w:val="both"/>
        <w:rPr>
          <w:rFonts w:ascii="Arial" w:eastAsiaTheme="minorHAnsi" w:hAnsi="Arial" w:cstheme="majorHAnsi"/>
          <w:b/>
          <w:sz w:val="24"/>
          <w:szCs w:val="24"/>
        </w:rPr>
      </w:pPr>
    </w:p>
    <w:p w14:paraId="3809B04C" w14:textId="77777777" w:rsidR="008775ED" w:rsidRPr="00AD33CF" w:rsidRDefault="008775ED" w:rsidP="008775ED">
      <w:pPr>
        <w:pStyle w:val="Heading1"/>
        <w:rPr>
          <w:rFonts w:eastAsiaTheme="minorHAnsi"/>
        </w:rPr>
      </w:pPr>
      <w:bookmarkStart w:id="1" w:name="_Toc141874692"/>
      <w:r w:rsidRPr="00AD33CF">
        <w:rPr>
          <w:rFonts w:eastAsiaTheme="minorHAnsi"/>
        </w:rPr>
        <w:lastRenderedPageBreak/>
        <w:t>Introduction</w:t>
      </w:r>
      <w:bookmarkEnd w:id="1"/>
    </w:p>
    <w:p w14:paraId="66BD1625" w14:textId="77777777" w:rsidR="008775ED" w:rsidRPr="00AD33CF" w:rsidRDefault="008775ED" w:rsidP="00291D13">
      <w:pPr>
        <w:spacing w:after="0" w:line="276" w:lineRule="auto"/>
        <w:jc w:val="both"/>
        <w:rPr>
          <w:rFonts w:asciiTheme="majorHAnsi" w:eastAsiaTheme="minorHAnsi" w:hAnsiTheme="majorHAnsi" w:cstheme="majorHAnsi"/>
          <w:sz w:val="18"/>
          <w:szCs w:val="18"/>
        </w:rPr>
      </w:pPr>
    </w:p>
    <w:p w14:paraId="0B46BE2B" w14:textId="77777777" w:rsidR="003D39D3" w:rsidRPr="00AD33CF" w:rsidRDefault="003D39D3" w:rsidP="00291D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The purpose of this document is to present the main principles and standards for the revisions of released national accounts data produced according to the European System of National and Regional Accounts</w:t>
      </w:r>
      <w:r w:rsidRPr="00AD33CF">
        <w:t xml:space="preserve"> </w:t>
      </w:r>
      <w:r w:rsidRPr="00AD33CF">
        <w:rPr>
          <w:rFonts w:asciiTheme="majorHAnsi" w:eastAsiaTheme="minorHAnsi" w:hAnsiTheme="majorHAnsi" w:cstheme="majorHAnsi"/>
          <w:sz w:val="20"/>
          <w:szCs w:val="20"/>
        </w:rPr>
        <w:t>(ESA 2010). The Revision Policy of the Statistical Office of the Republic of Serbia (SORS) is in line with the national release calendar and compliant with the guiding principles of the harmonized European revision policy</w:t>
      </w:r>
      <w:r w:rsidRPr="00AD33CF">
        <w:rPr>
          <w:rFonts w:asciiTheme="majorHAnsi" w:eastAsiaTheme="minorHAnsi" w:hAnsiTheme="majorHAnsi" w:cstheme="majorHAnsi"/>
          <w:sz w:val="20"/>
          <w:szCs w:val="20"/>
          <w:vertAlign w:val="superscript"/>
        </w:rPr>
        <w:footnoteReference w:id="1"/>
      </w:r>
      <w:r w:rsidRPr="00AD33CF">
        <w:rPr>
          <w:rFonts w:asciiTheme="majorHAnsi" w:eastAsiaTheme="minorHAnsi" w:hAnsiTheme="majorHAnsi" w:cstheme="majorHAnsi"/>
          <w:sz w:val="20"/>
          <w:szCs w:val="20"/>
        </w:rPr>
        <w:t xml:space="preserve"> and Eurostat recommendations on revising ESA 2010 data</w:t>
      </w:r>
      <w:r w:rsidRPr="00AD33CF">
        <w:rPr>
          <w:rFonts w:asciiTheme="majorHAnsi" w:eastAsiaTheme="minorHAnsi" w:hAnsiTheme="majorHAnsi" w:cstheme="majorHAnsi"/>
          <w:sz w:val="20"/>
          <w:szCs w:val="20"/>
          <w:vertAlign w:val="superscript"/>
        </w:rPr>
        <w:footnoteReference w:id="2"/>
      </w:r>
      <w:r w:rsidRPr="00AD33CF">
        <w:rPr>
          <w:rFonts w:asciiTheme="majorHAnsi" w:eastAsiaTheme="minorHAnsi" w:hAnsiTheme="majorHAnsi" w:cstheme="majorHAnsi"/>
          <w:sz w:val="20"/>
          <w:szCs w:val="20"/>
        </w:rPr>
        <w:t>.</w:t>
      </w:r>
    </w:p>
    <w:p w14:paraId="33FA31D7" w14:textId="77777777" w:rsidR="003D39D3" w:rsidRPr="00AD33CF" w:rsidRDefault="003D39D3" w:rsidP="00291D13">
      <w:pPr>
        <w:spacing w:after="0" w:line="276" w:lineRule="auto"/>
        <w:jc w:val="both"/>
        <w:rPr>
          <w:rFonts w:asciiTheme="majorHAnsi" w:eastAsiaTheme="minorHAnsi" w:hAnsiTheme="majorHAnsi" w:cstheme="majorHAnsi"/>
          <w:sz w:val="20"/>
          <w:szCs w:val="20"/>
        </w:rPr>
      </w:pPr>
    </w:p>
    <w:p w14:paraId="2056E41E" w14:textId="77777777" w:rsidR="003D39D3" w:rsidRPr="00AD33CF" w:rsidRDefault="003D39D3" w:rsidP="00291D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 xml:space="preserve">The revision policy establishes the rules for the revisions of released statistics, informing the users about possible causes for revisions, typology of revisions, and supporting documentation covering all revision aspects. </w:t>
      </w:r>
    </w:p>
    <w:p w14:paraId="407A12AA" w14:textId="77777777" w:rsidR="003D39D3" w:rsidRPr="00AD33CF" w:rsidRDefault="003D39D3" w:rsidP="00291D13">
      <w:pPr>
        <w:spacing w:after="0" w:line="276" w:lineRule="auto"/>
        <w:jc w:val="both"/>
        <w:rPr>
          <w:rFonts w:asciiTheme="majorHAnsi" w:eastAsiaTheme="minorHAnsi" w:hAnsiTheme="majorHAnsi" w:cstheme="majorHAnsi"/>
          <w:sz w:val="20"/>
          <w:szCs w:val="20"/>
        </w:rPr>
      </w:pPr>
    </w:p>
    <w:p w14:paraId="262ACD57" w14:textId="77777777" w:rsidR="003D39D3" w:rsidRPr="00AD33CF" w:rsidRDefault="003D39D3" w:rsidP="00291D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 xml:space="preserve">The system of national accounts is the macroeconomic system of data that provides an insight into the total economy. The accounts take the central position in the statistical system and are an important basis for economic policy management and decision making since they enable measuring of economic development level, economic growth rate, changes in production, consumption, savings, </w:t>
      </w:r>
      <w:proofErr w:type="gramStart"/>
      <w:r w:rsidRPr="00AD33CF">
        <w:rPr>
          <w:rFonts w:asciiTheme="majorHAnsi" w:eastAsiaTheme="minorHAnsi" w:hAnsiTheme="majorHAnsi" w:cstheme="majorHAnsi"/>
          <w:sz w:val="20"/>
          <w:szCs w:val="20"/>
        </w:rPr>
        <w:t>investments</w:t>
      </w:r>
      <w:proofErr w:type="gramEnd"/>
      <w:r w:rsidRPr="00AD33CF">
        <w:rPr>
          <w:rFonts w:asciiTheme="majorHAnsi" w:eastAsiaTheme="minorHAnsi" w:hAnsiTheme="majorHAnsi" w:cstheme="majorHAnsi"/>
          <w:sz w:val="20"/>
          <w:szCs w:val="20"/>
        </w:rPr>
        <w:t xml:space="preserve"> in fixed assets, exports and imports.</w:t>
      </w:r>
    </w:p>
    <w:p w14:paraId="53144451" w14:textId="77777777" w:rsidR="003D39D3" w:rsidRPr="00AD33CF" w:rsidRDefault="003D39D3" w:rsidP="00291D13">
      <w:pPr>
        <w:spacing w:after="0" w:line="276" w:lineRule="auto"/>
        <w:jc w:val="both"/>
        <w:rPr>
          <w:rFonts w:asciiTheme="majorHAnsi" w:eastAsiaTheme="minorHAnsi" w:hAnsiTheme="majorHAnsi" w:cstheme="majorHAnsi"/>
          <w:sz w:val="20"/>
          <w:szCs w:val="20"/>
        </w:rPr>
      </w:pPr>
    </w:p>
    <w:p w14:paraId="4B8DBCBA" w14:textId="77777777" w:rsidR="003D39D3" w:rsidRPr="00AD33CF" w:rsidRDefault="003D39D3" w:rsidP="00291D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By defining the revision policy, SORS follows the vision of the integrated statistical system where the releases and revisions of statistical data are coordinated and synchronized and thereby provide maximum transparency for the users ensured through the clear presentation of revision policies and statistical practice.</w:t>
      </w:r>
    </w:p>
    <w:p w14:paraId="178E1B97" w14:textId="77777777" w:rsidR="003D39D3" w:rsidRPr="00AD33CF" w:rsidRDefault="003D39D3" w:rsidP="003D39D3">
      <w:pPr>
        <w:spacing w:after="0" w:line="276" w:lineRule="auto"/>
        <w:jc w:val="both"/>
        <w:rPr>
          <w:rFonts w:asciiTheme="majorHAnsi" w:eastAsiaTheme="minorHAnsi" w:hAnsiTheme="majorHAnsi" w:cstheme="majorHAnsi"/>
          <w:sz w:val="20"/>
          <w:szCs w:val="20"/>
        </w:rPr>
      </w:pPr>
    </w:p>
    <w:p w14:paraId="4616C0F4" w14:textId="3CDEB500" w:rsidR="003D39D3" w:rsidRPr="00AD33CF" w:rsidRDefault="003D39D3" w:rsidP="003933E7">
      <w:pPr>
        <w:spacing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The National Accounts revision policy covers all published quarterly and annual data series within the national accounts. This includes all the series that appear in the following statistical domains:</w:t>
      </w:r>
    </w:p>
    <w:p w14:paraId="71F51AAB" w14:textId="77777777" w:rsidR="003D39D3" w:rsidRPr="00AD33CF" w:rsidRDefault="003D39D3" w:rsidP="003D39D3">
      <w:pPr>
        <w:numPr>
          <w:ilvl w:val="0"/>
          <w:numId w:val="11"/>
        </w:numPr>
        <w:spacing w:after="0" w:line="276" w:lineRule="auto"/>
        <w:contextualSpacing/>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national accounts main aggregates, annual and quarterly data;</w:t>
      </w:r>
    </w:p>
    <w:p w14:paraId="630CFDA4" w14:textId="77777777" w:rsidR="003D39D3" w:rsidRPr="00AD33CF" w:rsidRDefault="003D39D3" w:rsidP="003D39D3">
      <w:pPr>
        <w:numPr>
          <w:ilvl w:val="0"/>
          <w:numId w:val="11"/>
        </w:numPr>
        <w:spacing w:after="0" w:line="276" w:lineRule="auto"/>
        <w:contextualSpacing/>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non-financial sector accounts (NFSA), annual data;</w:t>
      </w:r>
    </w:p>
    <w:p w14:paraId="046B6F99" w14:textId="77777777" w:rsidR="003D39D3" w:rsidRPr="00AD33CF" w:rsidRDefault="003D39D3" w:rsidP="003D39D3">
      <w:pPr>
        <w:numPr>
          <w:ilvl w:val="0"/>
          <w:numId w:val="11"/>
        </w:numPr>
        <w:spacing w:after="0" w:line="276" w:lineRule="auto"/>
        <w:contextualSpacing/>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government finance statistics;</w:t>
      </w:r>
    </w:p>
    <w:p w14:paraId="28A4ED17" w14:textId="77777777" w:rsidR="003D39D3" w:rsidRPr="00AD33CF" w:rsidRDefault="003D39D3" w:rsidP="003D39D3">
      <w:pPr>
        <w:numPr>
          <w:ilvl w:val="0"/>
          <w:numId w:val="11"/>
        </w:numPr>
        <w:spacing w:after="0" w:line="276" w:lineRule="auto"/>
        <w:contextualSpacing/>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supply and use tables and input-output tables (SUTs/IOTs);</w:t>
      </w:r>
    </w:p>
    <w:p w14:paraId="5A286126" w14:textId="77777777" w:rsidR="003D39D3" w:rsidRPr="00AD33CF" w:rsidRDefault="003D39D3" w:rsidP="003D39D3">
      <w:pPr>
        <w:numPr>
          <w:ilvl w:val="0"/>
          <w:numId w:val="11"/>
        </w:numPr>
        <w:spacing w:after="0" w:line="276" w:lineRule="auto"/>
        <w:contextualSpacing/>
        <w:jc w:val="both"/>
        <w:rPr>
          <w:rFonts w:asciiTheme="majorHAnsi" w:eastAsiaTheme="minorHAnsi" w:hAnsiTheme="majorHAnsi" w:cstheme="majorHAnsi"/>
          <w:sz w:val="20"/>
          <w:szCs w:val="20"/>
        </w:rPr>
      </w:pPr>
      <w:proofErr w:type="gramStart"/>
      <w:r w:rsidRPr="00AD33CF">
        <w:rPr>
          <w:rFonts w:asciiTheme="majorHAnsi" w:eastAsiaTheme="minorHAnsi" w:hAnsiTheme="majorHAnsi" w:cstheme="majorHAnsi"/>
          <w:sz w:val="20"/>
          <w:szCs w:val="20"/>
        </w:rPr>
        <w:t>regional</w:t>
      </w:r>
      <w:proofErr w:type="gramEnd"/>
      <w:r w:rsidRPr="00AD33CF">
        <w:rPr>
          <w:rFonts w:asciiTheme="majorHAnsi" w:eastAsiaTheme="minorHAnsi" w:hAnsiTheme="majorHAnsi" w:cstheme="majorHAnsi"/>
          <w:sz w:val="20"/>
          <w:szCs w:val="20"/>
        </w:rPr>
        <w:t xml:space="preserve"> accounts.</w:t>
      </w:r>
    </w:p>
    <w:p w14:paraId="5A23C7D1" w14:textId="77777777" w:rsidR="003D39D3" w:rsidRPr="00AD33CF" w:rsidRDefault="003D39D3" w:rsidP="00291D13">
      <w:pPr>
        <w:spacing w:after="0" w:line="276" w:lineRule="auto"/>
        <w:jc w:val="both"/>
        <w:rPr>
          <w:rFonts w:asciiTheme="majorHAnsi" w:eastAsiaTheme="minorHAnsi" w:hAnsiTheme="majorHAnsi" w:cstheme="majorHAnsi"/>
          <w:sz w:val="20"/>
          <w:szCs w:val="20"/>
        </w:rPr>
      </w:pPr>
    </w:p>
    <w:p w14:paraId="29B5950A" w14:textId="77777777" w:rsidR="003D39D3" w:rsidRPr="00AD33CF" w:rsidRDefault="003D39D3" w:rsidP="00291D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 xml:space="preserve">Revision is any change in the value of released statistical data and should be accepted as regular practice leading to better data quality, namely, their accuracy and reliability. </w:t>
      </w:r>
    </w:p>
    <w:p w14:paraId="36235AA1" w14:textId="77777777" w:rsidR="003D39D3" w:rsidRPr="00AD33CF" w:rsidRDefault="003D39D3" w:rsidP="00846B13">
      <w:pPr>
        <w:spacing w:after="0" w:line="276" w:lineRule="auto"/>
        <w:jc w:val="both"/>
        <w:rPr>
          <w:rFonts w:asciiTheme="majorHAnsi" w:eastAsiaTheme="minorHAnsi" w:hAnsiTheme="majorHAnsi" w:cstheme="majorHAnsi"/>
          <w:sz w:val="20"/>
          <w:szCs w:val="20"/>
        </w:rPr>
      </w:pPr>
    </w:p>
    <w:p w14:paraId="05589C99" w14:textId="77777777" w:rsidR="003D39D3" w:rsidRPr="00AD33CF" w:rsidRDefault="003D39D3" w:rsidP="003933E7">
      <w:pPr>
        <w:spacing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When considering the causes and frequency of revisions, they can be distinguished as:</w:t>
      </w:r>
    </w:p>
    <w:p w14:paraId="337C3F59" w14:textId="77777777" w:rsidR="003D39D3" w:rsidRPr="00AD33CF" w:rsidRDefault="003D39D3" w:rsidP="003D39D3">
      <w:pPr>
        <w:numPr>
          <w:ilvl w:val="0"/>
          <w:numId w:val="12"/>
        </w:numPr>
        <w:spacing w:after="0" w:line="276" w:lineRule="auto"/>
        <w:contextualSpacing/>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current revisions (or routine revisions);</w:t>
      </w:r>
    </w:p>
    <w:p w14:paraId="409701CA" w14:textId="74E63C66" w:rsidR="003D39D3" w:rsidRPr="00AD33CF" w:rsidRDefault="003D39D3" w:rsidP="003D39D3">
      <w:pPr>
        <w:numPr>
          <w:ilvl w:val="0"/>
          <w:numId w:val="12"/>
        </w:numPr>
        <w:spacing w:after="0" w:line="276" w:lineRule="auto"/>
        <w:contextualSpacing/>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major</w:t>
      </w:r>
      <w:r w:rsidR="00567E51" w:rsidRPr="00AD33CF">
        <w:rPr>
          <w:rFonts w:asciiTheme="majorHAnsi" w:eastAsiaTheme="minorHAnsi" w:hAnsiTheme="majorHAnsi" w:cstheme="majorHAnsi"/>
          <w:sz w:val="20"/>
          <w:szCs w:val="20"/>
        </w:rPr>
        <w:t xml:space="preserve"> regular</w:t>
      </w:r>
      <w:r w:rsidRPr="00AD33CF">
        <w:rPr>
          <w:rFonts w:asciiTheme="majorHAnsi" w:eastAsiaTheme="minorHAnsi" w:hAnsiTheme="majorHAnsi" w:cstheme="majorHAnsi"/>
          <w:sz w:val="20"/>
          <w:szCs w:val="20"/>
        </w:rPr>
        <w:t xml:space="preserve"> revisions (or benchmark revisions);</w:t>
      </w:r>
    </w:p>
    <w:p w14:paraId="7C2C6EA8" w14:textId="77777777" w:rsidR="003D39D3" w:rsidRPr="00AD33CF" w:rsidRDefault="003D39D3" w:rsidP="003D39D3">
      <w:pPr>
        <w:numPr>
          <w:ilvl w:val="0"/>
          <w:numId w:val="12"/>
        </w:numPr>
        <w:spacing w:after="0" w:line="276" w:lineRule="auto"/>
        <w:contextualSpacing/>
        <w:jc w:val="both"/>
        <w:rPr>
          <w:rFonts w:asciiTheme="majorHAnsi" w:eastAsiaTheme="minorHAnsi" w:hAnsiTheme="majorHAnsi" w:cstheme="majorHAnsi"/>
          <w:sz w:val="20"/>
          <w:szCs w:val="20"/>
        </w:rPr>
      </w:pPr>
      <w:proofErr w:type="gramStart"/>
      <w:r w:rsidRPr="00AD33CF">
        <w:rPr>
          <w:rFonts w:asciiTheme="majorHAnsi" w:eastAsiaTheme="minorHAnsi" w:hAnsiTheme="majorHAnsi" w:cstheme="majorHAnsi"/>
          <w:sz w:val="20"/>
          <w:szCs w:val="20"/>
        </w:rPr>
        <w:t>non-scheduled</w:t>
      </w:r>
      <w:proofErr w:type="gramEnd"/>
      <w:r w:rsidRPr="00AD33CF">
        <w:rPr>
          <w:rFonts w:asciiTheme="majorHAnsi" w:eastAsiaTheme="minorHAnsi" w:hAnsiTheme="majorHAnsi" w:cstheme="majorHAnsi"/>
          <w:sz w:val="20"/>
          <w:szCs w:val="20"/>
        </w:rPr>
        <w:t xml:space="preserve"> revisions.</w:t>
      </w:r>
    </w:p>
    <w:p w14:paraId="47684D32" w14:textId="7854EF74" w:rsidR="008775ED" w:rsidRPr="00AD33CF" w:rsidRDefault="008775ED" w:rsidP="008775ED">
      <w:pPr>
        <w:spacing w:after="0" w:line="276" w:lineRule="auto"/>
        <w:jc w:val="both"/>
        <w:rPr>
          <w:rFonts w:asciiTheme="majorHAnsi" w:eastAsiaTheme="minorHAnsi" w:hAnsiTheme="majorHAnsi" w:cstheme="majorHAnsi"/>
          <w:sz w:val="20"/>
          <w:szCs w:val="20"/>
        </w:rPr>
      </w:pPr>
    </w:p>
    <w:p w14:paraId="6D733E55" w14:textId="77777777" w:rsidR="004476DB" w:rsidRPr="00AD33CF" w:rsidRDefault="004476DB" w:rsidP="008775ED">
      <w:pPr>
        <w:spacing w:after="0" w:line="276" w:lineRule="auto"/>
        <w:jc w:val="both"/>
        <w:rPr>
          <w:rFonts w:asciiTheme="majorHAnsi" w:eastAsiaTheme="minorHAnsi" w:hAnsiTheme="majorHAnsi" w:cstheme="majorHAnsi"/>
          <w:sz w:val="20"/>
          <w:szCs w:val="20"/>
        </w:rPr>
      </w:pPr>
    </w:p>
    <w:p w14:paraId="07664E76" w14:textId="7F68C220" w:rsidR="008775ED" w:rsidRPr="00AD33CF" w:rsidRDefault="008775ED" w:rsidP="008775ED">
      <w:pPr>
        <w:spacing w:after="0" w:line="276" w:lineRule="auto"/>
        <w:jc w:val="both"/>
        <w:rPr>
          <w:rFonts w:asciiTheme="majorHAnsi" w:eastAsiaTheme="minorHAnsi" w:hAnsiTheme="majorHAnsi" w:cstheme="majorHAnsi"/>
          <w:sz w:val="20"/>
          <w:szCs w:val="20"/>
        </w:rPr>
      </w:pPr>
    </w:p>
    <w:p w14:paraId="70EC53C3" w14:textId="089245B9" w:rsidR="00FD2D01" w:rsidRPr="00AD33CF" w:rsidRDefault="00FD2D01" w:rsidP="008775ED">
      <w:pPr>
        <w:spacing w:after="0" w:line="276" w:lineRule="auto"/>
        <w:jc w:val="both"/>
        <w:rPr>
          <w:rFonts w:asciiTheme="majorHAnsi" w:eastAsiaTheme="minorHAnsi" w:hAnsiTheme="majorHAnsi" w:cstheme="majorHAnsi"/>
          <w:sz w:val="20"/>
          <w:szCs w:val="20"/>
        </w:rPr>
      </w:pPr>
    </w:p>
    <w:p w14:paraId="6E898FAA" w14:textId="7DB6C044" w:rsidR="00FD2D01" w:rsidRPr="00AD33CF" w:rsidRDefault="00FD2D01" w:rsidP="008775ED">
      <w:pPr>
        <w:spacing w:after="0" w:line="276" w:lineRule="auto"/>
        <w:jc w:val="both"/>
        <w:rPr>
          <w:rFonts w:asciiTheme="majorHAnsi" w:eastAsiaTheme="minorHAnsi" w:hAnsiTheme="majorHAnsi" w:cstheme="majorHAnsi"/>
          <w:sz w:val="20"/>
          <w:szCs w:val="20"/>
        </w:rPr>
      </w:pPr>
    </w:p>
    <w:p w14:paraId="7ADCA96E" w14:textId="4167901E" w:rsidR="008775ED" w:rsidRPr="00AD33CF" w:rsidRDefault="008775ED" w:rsidP="008775ED">
      <w:pPr>
        <w:pStyle w:val="Heading1"/>
        <w:rPr>
          <w:rFonts w:eastAsiaTheme="minorHAnsi"/>
        </w:rPr>
      </w:pPr>
      <w:bookmarkStart w:id="2" w:name="_Toc141874693"/>
      <w:r w:rsidRPr="00AD33CF">
        <w:rPr>
          <w:rFonts w:eastAsiaTheme="minorHAnsi"/>
        </w:rPr>
        <w:lastRenderedPageBreak/>
        <w:t>Release calendar</w:t>
      </w:r>
      <w:bookmarkEnd w:id="2"/>
    </w:p>
    <w:p w14:paraId="3393EEDF" w14:textId="77777777" w:rsidR="006E16E0" w:rsidRDefault="006E16E0" w:rsidP="00291D13">
      <w:pPr>
        <w:spacing w:after="0" w:line="276" w:lineRule="auto"/>
        <w:jc w:val="both"/>
        <w:rPr>
          <w:rFonts w:asciiTheme="majorHAnsi" w:eastAsiaTheme="minorHAnsi" w:hAnsiTheme="majorHAnsi" w:cstheme="majorHAnsi"/>
          <w:sz w:val="20"/>
          <w:szCs w:val="20"/>
        </w:rPr>
      </w:pPr>
    </w:p>
    <w:p w14:paraId="7B38A878" w14:textId="4C74B015" w:rsidR="003D39D3" w:rsidRPr="00AD33CF" w:rsidRDefault="003D39D3" w:rsidP="00291D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 xml:space="preserve">The official </w:t>
      </w:r>
      <w:hyperlink r:id="rId8" w:history="1">
        <w:r w:rsidRPr="00AD33CF">
          <w:rPr>
            <w:rStyle w:val="Hyperlink"/>
            <w:rFonts w:asciiTheme="majorHAnsi" w:eastAsiaTheme="minorHAnsi" w:hAnsiTheme="majorHAnsi" w:cstheme="majorHAnsi"/>
            <w:sz w:val="20"/>
            <w:szCs w:val="20"/>
          </w:rPr>
          <w:t>release calendar</w:t>
        </w:r>
      </w:hyperlink>
      <w:r w:rsidRPr="00AD33CF">
        <w:rPr>
          <w:rFonts w:asciiTheme="majorHAnsi" w:eastAsiaTheme="minorHAnsi" w:hAnsiTheme="majorHAnsi" w:cstheme="majorHAnsi"/>
          <w:sz w:val="20"/>
          <w:szCs w:val="20"/>
        </w:rPr>
        <w:t xml:space="preserve"> is available on the SORS website approximately one month before the beginning of the year.</w:t>
      </w:r>
    </w:p>
    <w:p w14:paraId="79E1FE79" w14:textId="77777777" w:rsidR="003D39D3" w:rsidRPr="00AD33CF" w:rsidRDefault="003D39D3" w:rsidP="003D39D3">
      <w:pPr>
        <w:spacing w:after="0" w:line="276" w:lineRule="auto"/>
        <w:jc w:val="both"/>
        <w:rPr>
          <w:rFonts w:asciiTheme="majorHAnsi" w:eastAsiaTheme="min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21"/>
        <w:gridCol w:w="4699"/>
        <w:gridCol w:w="2194"/>
      </w:tblGrid>
      <w:tr w:rsidR="003D39D3" w:rsidRPr="00AD33CF" w14:paraId="226A52F3" w14:textId="77777777" w:rsidTr="000F7655">
        <w:trPr>
          <w:trHeight w:hRule="exact" w:val="432"/>
        </w:trPr>
        <w:tc>
          <w:tcPr>
            <w:tcW w:w="9214" w:type="dxa"/>
            <w:gridSpan w:val="3"/>
            <w:tcBorders>
              <w:bottom w:val="single" w:sz="8" w:space="0" w:color="auto"/>
            </w:tcBorders>
            <w:shd w:val="clear" w:color="auto" w:fill="E2EFD9" w:themeFill="accent6" w:themeFillTint="33"/>
            <w:vAlign w:val="center"/>
          </w:tcPr>
          <w:p w14:paraId="6DEC6EFA" w14:textId="77777777" w:rsidR="003D39D3" w:rsidRPr="00AD33CF" w:rsidRDefault="003D39D3" w:rsidP="000F7655">
            <w:pPr>
              <w:spacing w:line="276" w:lineRule="auto"/>
              <w:jc w:val="both"/>
              <w:rPr>
                <w:rFonts w:asciiTheme="majorHAnsi" w:hAnsiTheme="majorHAnsi" w:cstheme="majorHAnsi"/>
                <w:b/>
                <w:sz w:val="20"/>
                <w:szCs w:val="20"/>
              </w:rPr>
            </w:pPr>
            <w:r w:rsidRPr="00AD33CF">
              <w:rPr>
                <w:rFonts w:asciiTheme="majorHAnsi" w:hAnsiTheme="majorHAnsi" w:cstheme="majorHAnsi"/>
                <w:b/>
                <w:sz w:val="20"/>
                <w:szCs w:val="20"/>
              </w:rPr>
              <w:t xml:space="preserve">Release calendar for National accounts </w:t>
            </w:r>
          </w:p>
        </w:tc>
      </w:tr>
      <w:tr w:rsidR="003D39D3" w:rsidRPr="00AD33CF" w14:paraId="3F7C4677" w14:textId="77777777" w:rsidTr="000F7655">
        <w:trPr>
          <w:trHeight w:hRule="exact" w:val="432"/>
        </w:trPr>
        <w:tc>
          <w:tcPr>
            <w:tcW w:w="2321" w:type="dxa"/>
            <w:tcBorders>
              <w:top w:val="single" w:sz="8" w:space="0" w:color="auto"/>
              <w:bottom w:val="single" w:sz="8" w:space="0" w:color="A8D08D" w:themeColor="accent6" w:themeTint="99"/>
            </w:tcBorders>
            <w:shd w:val="clear" w:color="auto" w:fill="E2EFD9" w:themeFill="accent6" w:themeFillTint="33"/>
            <w:vAlign w:val="center"/>
          </w:tcPr>
          <w:p w14:paraId="63FCFDEE" w14:textId="77777777" w:rsidR="003D39D3" w:rsidRPr="00AD33CF" w:rsidRDefault="003D39D3" w:rsidP="000F7655">
            <w:pPr>
              <w:spacing w:line="276" w:lineRule="auto"/>
              <w:jc w:val="both"/>
              <w:rPr>
                <w:rFonts w:asciiTheme="majorHAnsi" w:hAnsiTheme="majorHAnsi" w:cstheme="majorHAnsi"/>
                <w:b/>
                <w:sz w:val="20"/>
                <w:szCs w:val="20"/>
              </w:rPr>
            </w:pPr>
            <w:r w:rsidRPr="00AD33CF">
              <w:rPr>
                <w:rFonts w:asciiTheme="majorHAnsi" w:hAnsiTheme="majorHAnsi" w:cstheme="majorHAnsi"/>
                <w:b/>
                <w:sz w:val="20"/>
                <w:szCs w:val="20"/>
              </w:rPr>
              <w:t>Domains</w:t>
            </w:r>
          </w:p>
        </w:tc>
        <w:tc>
          <w:tcPr>
            <w:tcW w:w="4699" w:type="dxa"/>
            <w:tcBorders>
              <w:top w:val="single" w:sz="8" w:space="0" w:color="auto"/>
              <w:bottom w:val="single" w:sz="8" w:space="0" w:color="A8D08D" w:themeColor="accent6" w:themeTint="99"/>
            </w:tcBorders>
            <w:shd w:val="clear" w:color="auto" w:fill="E2EFD9" w:themeFill="accent6" w:themeFillTint="33"/>
            <w:vAlign w:val="center"/>
          </w:tcPr>
          <w:p w14:paraId="7BA68280" w14:textId="77777777" w:rsidR="003D39D3" w:rsidRPr="00AD33CF" w:rsidRDefault="003D39D3" w:rsidP="000F7655">
            <w:pPr>
              <w:spacing w:line="276" w:lineRule="auto"/>
              <w:jc w:val="both"/>
              <w:rPr>
                <w:rFonts w:asciiTheme="majorHAnsi" w:hAnsiTheme="majorHAnsi" w:cstheme="majorHAnsi"/>
                <w:b/>
                <w:sz w:val="20"/>
                <w:szCs w:val="20"/>
              </w:rPr>
            </w:pPr>
            <w:r w:rsidRPr="00AD33CF">
              <w:rPr>
                <w:rFonts w:asciiTheme="majorHAnsi" w:hAnsiTheme="majorHAnsi" w:cstheme="majorHAnsi"/>
                <w:b/>
                <w:sz w:val="20"/>
                <w:szCs w:val="20"/>
              </w:rPr>
              <w:t>Title</w:t>
            </w:r>
          </w:p>
        </w:tc>
        <w:tc>
          <w:tcPr>
            <w:tcW w:w="2194" w:type="dxa"/>
            <w:tcBorders>
              <w:top w:val="single" w:sz="8" w:space="0" w:color="auto"/>
              <w:bottom w:val="single" w:sz="8" w:space="0" w:color="A8D08D" w:themeColor="accent6" w:themeTint="99"/>
            </w:tcBorders>
            <w:shd w:val="clear" w:color="auto" w:fill="E2EFD9" w:themeFill="accent6" w:themeFillTint="33"/>
            <w:vAlign w:val="center"/>
          </w:tcPr>
          <w:p w14:paraId="3DE9700C" w14:textId="77777777" w:rsidR="003D39D3" w:rsidRPr="00AD33CF" w:rsidRDefault="003D39D3" w:rsidP="000F7655">
            <w:pPr>
              <w:spacing w:line="276" w:lineRule="auto"/>
              <w:jc w:val="both"/>
              <w:rPr>
                <w:rFonts w:asciiTheme="majorHAnsi" w:hAnsiTheme="majorHAnsi" w:cstheme="majorHAnsi"/>
                <w:b/>
                <w:sz w:val="20"/>
                <w:szCs w:val="20"/>
              </w:rPr>
            </w:pPr>
            <w:r w:rsidRPr="00AD33CF">
              <w:rPr>
                <w:rFonts w:asciiTheme="majorHAnsi" w:hAnsiTheme="majorHAnsi" w:cstheme="majorHAnsi"/>
                <w:b/>
                <w:sz w:val="20"/>
                <w:szCs w:val="20"/>
              </w:rPr>
              <w:t>No of publication</w:t>
            </w:r>
          </w:p>
        </w:tc>
      </w:tr>
      <w:tr w:rsidR="003D39D3" w:rsidRPr="00AD33CF" w14:paraId="337487D9" w14:textId="77777777" w:rsidTr="000F7655">
        <w:tc>
          <w:tcPr>
            <w:tcW w:w="2321" w:type="dxa"/>
            <w:vMerge w:val="restart"/>
            <w:tcBorders>
              <w:top w:val="single" w:sz="8" w:space="0" w:color="A8D08D" w:themeColor="accent6" w:themeTint="99"/>
              <w:bottom w:val="single" w:sz="8" w:space="0" w:color="A8D08D" w:themeColor="accent6" w:themeTint="99"/>
            </w:tcBorders>
            <w:vAlign w:val="center"/>
          </w:tcPr>
          <w:p w14:paraId="1DA80F5C" w14:textId="77777777" w:rsidR="003D39D3" w:rsidRPr="00AD33CF" w:rsidRDefault="003D39D3" w:rsidP="000F7655">
            <w:pPr>
              <w:rPr>
                <w:rFonts w:asciiTheme="majorHAnsi" w:hAnsiTheme="majorHAnsi" w:cstheme="majorHAnsi"/>
                <w:b/>
                <w:sz w:val="20"/>
                <w:szCs w:val="20"/>
              </w:rPr>
            </w:pPr>
            <w:r w:rsidRPr="00AD33CF">
              <w:rPr>
                <w:rFonts w:asciiTheme="majorHAnsi" w:hAnsiTheme="majorHAnsi" w:cstheme="majorHAnsi"/>
                <w:b/>
                <w:sz w:val="20"/>
                <w:szCs w:val="20"/>
              </w:rPr>
              <w:t>National accounts main aggregates, quarterly data</w:t>
            </w:r>
          </w:p>
        </w:tc>
        <w:tc>
          <w:tcPr>
            <w:tcW w:w="4699" w:type="dxa"/>
            <w:tcBorders>
              <w:top w:val="single" w:sz="8" w:space="0" w:color="A8D08D" w:themeColor="accent6" w:themeTint="99"/>
              <w:bottom w:val="single" w:sz="8" w:space="0" w:color="A8D08D" w:themeColor="accent6" w:themeTint="99"/>
            </w:tcBorders>
            <w:vAlign w:val="center"/>
          </w:tcPr>
          <w:p w14:paraId="536204E0"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Quarterly Gross domestic product of the Republic of Serbia at constant prices - flash estimate</w:t>
            </w:r>
          </w:p>
        </w:tc>
        <w:tc>
          <w:tcPr>
            <w:tcW w:w="2194" w:type="dxa"/>
            <w:tcBorders>
              <w:top w:val="single" w:sz="8" w:space="0" w:color="A8D08D" w:themeColor="accent6" w:themeTint="99"/>
              <w:bottom w:val="single" w:sz="8" w:space="0" w:color="A8D08D" w:themeColor="accent6" w:themeTint="99"/>
            </w:tcBorders>
            <w:vAlign w:val="center"/>
          </w:tcPr>
          <w:p w14:paraId="7261F803"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quarter (reference quarter + 1 month)</w:t>
            </w:r>
          </w:p>
        </w:tc>
      </w:tr>
      <w:tr w:rsidR="003D39D3" w:rsidRPr="00AD33CF" w14:paraId="6FCAD128" w14:textId="77777777" w:rsidTr="000F7655">
        <w:tc>
          <w:tcPr>
            <w:tcW w:w="2321" w:type="dxa"/>
            <w:vMerge/>
            <w:tcBorders>
              <w:top w:val="single" w:sz="8" w:space="0" w:color="A8D08D" w:themeColor="accent6" w:themeTint="99"/>
              <w:bottom w:val="single" w:sz="8" w:space="0" w:color="A8D08D" w:themeColor="accent6" w:themeTint="99"/>
            </w:tcBorders>
            <w:vAlign w:val="center"/>
          </w:tcPr>
          <w:p w14:paraId="188C53F2" w14:textId="77777777" w:rsidR="003D39D3" w:rsidRPr="00AD33CF" w:rsidRDefault="003D39D3" w:rsidP="000F7655">
            <w:pPr>
              <w:spacing w:line="276" w:lineRule="auto"/>
              <w:jc w:val="both"/>
              <w:rPr>
                <w:rFonts w:asciiTheme="majorHAnsi" w:hAnsiTheme="majorHAnsi" w:cstheme="majorHAnsi"/>
                <w:b/>
                <w:sz w:val="20"/>
                <w:szCs w:val="20"/>
              </w:rPr>
            </w:pPr>
          </w:p>
        </w:tc>
        <w:tc>
          <w:tcPr>
            <w:tcW w:w="4699" w:type="dxa"/>
            <w:tcBorders>
              <w:top w:val="single" w:sz="8" w:space="0" w:color="A8D08D" w:themeColor="accent6" w:themeTint="99"/>
              <w:bottom w:val="single" w:sz="8" w:space="0" w:color="A8D08D" w:themeColor="accent6" w:themeTint="99"/>
            </w:tcBorders>
            <w:vAlign w:val="center"/>
          </w:tcPr>
          <w:p w14:paraId="5A7D22A9"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Quarterly Gross domestic product of the Republic of Serbia</w:t>
            </w:r>
          </w:p>
        </w:tc>
        <w:tc>
          <w:tcPr>
            <w:tcW w:w="2194" w:type="dxa"/>
            <w:tcBorders>
              <w:top w:val="single" w:sz="8" w:space="0" w:color="A8D08D" w:themeColor="accent6" w:themeTint="99"/>
              <w:bottom w:val="single" w:sz="8" w:space="0" w:color="A8D08D" w:themeColor="accent6" w:themeTint="99"/>
            </w:tcBorders>
            <w:vAlign w:val="center"/>
          </w:tcPr>
          <w:p w14:paraId="0DA78CA2"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quarter (reference quarter + 2 months)</w:t>
            </w:r>
          </w:p>
        </w:tc>
      </w:tr>
      <w:tr w:rsidR="003D39D3" w:rsidRPr="00AD33CF" w14:paraId="525E586E" w14:textId="77777777" w:rsidTr="000F7655">
        <w:tc>
          <w:tcPr>
            <w:tcW w:w="2321" w:type="dxa"/>
            <w:vMerge w:val="restart"/>
            <w:tcBorders>
              <w:top w:val="single" w:sz="8" w:space="0" w:color="A8D08D" w:themeColor="accent6" w:themeTint="99"/>
            </w:tcBorders>
            <w:vAlign w:val="center"/>
          </w:tcPr>
          <w:p w14:paraId="52C6CF1C" w14:textId="77777777" w:rsidR="003D39D3" w:rsidRPr="00AD33CF" w:rsidRDefault="003D39D3" w:rsidP="000F7655">
            <w:pPr>
              <w:spacing w:line="276" w:lineRule="auto"/>
              <w:jc w:val="both"/>
              <w:rPr>
                <w:rFonts w:asciiTheme="majorHAnsi" w:hAnsiTheme="majorHAnsi" w:cstheme="majorHAnsi"/>
                <w:b/>
                <w:sz w:val="20"/>
                <w:szCs w:val="20"/>
              </w:rPr>
            </w:pPr>
            <w:r w:rsidRPr="00AD33CF">
              <w:rPr>
                <w:rFonts w:asciiTheme="majorHAnsi" w:hAnsiTheme="majorHAnsi" w:cstheme="majorHAnsi"/>
                <w:b/>
                <w:sz w:val="20"/>
                <w:szCs w:val="20"/>
              </w:rPr>
              <w:t>National accounts main</w:t>
            </w:r>
          </w:p>
          <w:p w14:paraId="30044E73" w14:textId="77777777" w:rsidR="003D39D3" w:rsidRPr="00AD33CF" w:rsidRDefault="003D39D3" w:rsidP="000F7655">
            <w:pPr>
              <w:spacing w:line="276" w:lineRule="auto"/>
              <w:jc w:val="both"/>
              <w:rPr>
                <w:rFonts w:asciiTheme="majorHAnsi" w:hAnsiTheme="majorHAnsi" w:cstheme="majorHAnsi"/>
                <w:b/>
                <w:sz w:val="20"/>
                <w:szCs w:val="20"/>
              </w:rPr>
            </w:pPr>
            <w:r w:rsidRPr="00AD33CF">
              <w:rPr>
                <w:rFonts w:asciiTheme="majorHAnsi" w:hAnsiTheme="majorHAnsi" w:cstheme="majorHAnsi"/>
                <w:b/>
                <w:sz w:val="20"/>
                <w:szCs w:val="20"/>
              </w:rPr>
              <w:t>aggregates, annual data</w:t>
            </w:r>
          </w:p>
        </w:tc>
        <w:tc>
          <w:tcPr>
            <w:tcW w:w="4699" w:type="dxa"/>
            <w:tcBorders>
              <w:top w:val="single" w:sz="8" w:space="0" w:color="A8D08D" w:themeColor="accent6" w:themeTint="99"/>
              <w:bottom w:val="single" w:sz="8" w:space="0" w:color="A8D08D" w:themeColor="accent6" w:themeTint="99"/>
            </w:tcBorders>
            <w:vAlign w:val="center"/>
          </w:tcPr>
          <w:p w14:paraId="30424D1F"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Economic trends – GDP growth rate</w:t>
            </w:r>
          </w:p>
        </w:tc>
        <w:tc>
          <w:tcPr>
            <w:tcW w:w="2194" w:type="dxa"/>
            <w:tcBorders>
              <w:top w:val="single" w:sz="8" w:space="0" w:color="A8D08D" w:themeColor="accent6" w:themeTint="99"/>
              <w:bottom w:val="single" w:sz="8" w:space="0" w:color="A8D08D" w:themeColor="accent6" w:themeTint="99"/>
            </w:tcBorders>
            <w:vAlign w:val="center"/>
          </w:tcPr>
          <w:p w14:paraId="7A9572B4" w14:textId="77777777" w:rsidR="003D39D3" w:rsidRPr="00AD33CF" w:rsidRDefault="003D39D3" w:rsidP="000F7655">
            <w:pPr>
              <w:jc w:val="both"/>
              <w:rPr>
                <w:rFonts w:asciiTheme="majorHAnsi" w:hAnsiTheme="majorHAnsi" w:cstheme="majorHAnsi"/>
                <w:sz w:val="20"/>
                <w:szCs w:val="20"/>
              </w:rPr>
            </w:pPr>
            <w:r w:rsidRPr="00AD33CF">
              <w:rPr>
                <w:rFonts w:asciiTheme="majorHAnsi" w:hAnsiTheme="majorHAnsi" w:cstheme="majorHAnsi"/>
                <w:sz w:val="20"/>
                <w:szCs w:val="20"/>
              </w:rPr>
              <w:t>1 per year (end of December of the reference year)</w:t>
            </w:r>
          </w:p>
        </w:tc>
      </w:tr>
      <w:tr w:rsidR="003D39D3" w:rsidRPr="00AD33CF" w14:paraId="03710C39" w14:textId="77777777" w:rsidTr="000F7655">
        <w:tc>
          <w:tcPr>
            <w:tcW w:w="2321" w:type="dxa"/>
            <w:vMerge/>
            <w:vAlign w:val="center"/>
          </w:tcPr>
          <w:p w14:paraId="08734350" w14:textId="77777777" w:rsidR="003D39D3" w:rsidRPr="00AD33CF" w:rsidRDefault="003D39D3" w:rsidP="000F7655">
            <w:pPr>
              <w:spacing w:line="276" w:lineRule="auto"/>
              <w:jc w:val="both"/>
              <w:rPr>
                <w:rFonts w:asciiTheme="majorHAnsi" w:hAnsiTheme="majorHAnsi" w:cstheme="majorHAnsi"/>
                <w:b/>
                <w:sz w:val="20"/>
                <w:szCs w:val="20"/>
              </w:rPr>
            </w:pPr>
          </w:p>
        </w:tc>
        <w:tc>
          <w:tcPr>
            <w:tcW w:w="4699" w:type="dxa"/>
            <w:tcBorders>
              <w:top w:val="single" w:sz="8" w:space="0" w:color="A8D08D" w:themeColor="accent6" w:themeTint="99"/>
              <w:bottom w:val="single" w:sz="8" w:space="0" w:color="A8D08D" w:themeColor="accent6" w:themeTint="99"/>
            </w:tcBorders>
            <w:vAlign w:val="center"/>
          </w:tcPr>
          <w:p w14:paraId="48EA1540"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Gross Domestic Product – the sum of four quarters, estimate</w:t>
            </w:r>
          </w:p>
        </w:tc>
        <w:tc>
          <w:tcPr>
            <w:tcW w:w="2194" w:type="dxa"/>
            <w:tcBorders>
              <w:top w:val="single" w:sz="8" w:space="0" w:color="A8D08D" w:themeColor="accent6" w:themeTint="99"/>
              <w:bottom w:val="single" w:sz="8" w:space="0" w:color="A8D08D" w:themeColor="accent6" w:themeTint="99"/>
            </w:tcBorders>
            <w:vAlign w:val="center"/>
          </w:tcPr>
          <w:p w14:paraId="573E1323"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year (reference year + 2 months)</w:t>
            </w:r>
          </w:p>
        </w:tc>
      </w:tr>
      <w:tr w:rsidR="003D39D3" w:rsidRPr="00AD33CF" w14:paraId="4F5540FD" w14:textId="77777777" w:rsidTr="000F7655">
        <w:tc>
          <w:tcPr>
            <w:tcW w:w="2321" w:type="dxa"/>
            <w:vMerge/>
            <w:vAlign w:val="center"/>
          </w:tcPr>
          <w:p w14:paraId="22EE8667" w14:textId="77777777" w:rsidR="003D39D3" w:rsidRPr="00AD33CF" w:rsidRDefault="003D39D3" w:rsidP="000F7655">
            <w:pPr>
              <w:spacing w:line="276" w:lineRule="auto"/>
              <w:jc w:val="both"/>
              <w:rPr>
                <w:rFonts w:asciiTheme="majorHAnsi" w:hAnsiTheme="majorHAnsi" w:cstheme="majorHAnsi"/>
                <w:b/>
                <w:sz w:val="20"/>
                <w:szCs w:val="20"/>
              </w:rPr>
            </w:pPr>
          </w:p>
        </w:tc>
        <w:tc>
          <w:tcPr>
            <w:tcW w:w="4699" w:type="dxa"/>
            <w:tcBorders>
              <w:top w:val="single" w:sz="8" w:space="0" w:color="A8D08D" w:themeColor="accent6" w:themeTint="99"/>
              <w:bottom w:val="single" w:sz="8" w:space="0" w:color="A8D08D" w:themeColor="accent6" w:themeTint="99"/>
            </w:tcBorders>
            <w:vAlign w:val="center"/>
          </w:tcPr>
          <w:p w14:paraId="33A6F0E4"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Gross Domestic Product – annual compilation, preliminary data</w:t>
            </w:r>
          </w:p>
        </w:tc>
        <w:tc>
          <w:tcPr>
            <w:tcW w:w="2194" w:type="dxa"/>
            <w:tcBorders>
              <w:top w:val="single" w:sz="8" w:space="0" w:color="A8D08D" w:themeColor="accent6" w:themeTint="99"/>
              <w:bottom w:val="single" w:sz="8" w:space="0" w:color="A8D08D" w:themeColor="accent6" w:themeTint="99"/>
            </w:tcBorders>
            <w:vAlign w:val="center"/>
          </w:tcPr>
          <w:p w14:paraId="26741BA5"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year (reference year + 9 months)</w:t>
            </w:r>
          </w:p>
        </w:tc>
      </w:tr>
      <w:tr w:rsidR="003D39D3" w:rsidRPr="00AD33CF" w14:paraId="0F6D00A4" w14:textId="77777777" w:rsidTr="000F7655">
        <w:tc>
          <w:tcPr>
            <w:tcW w:w="2321" w:type="dxa"/>
            <w:vMerge/>
            <w:tcBorders>
              <w:bottom w:val="single" w:sz="8" w:space="0" w:color="A8D08D" w:themeColor="accent6" w:themeTint="99"/>
            </w:tcBorders>
            <w:vAlign w:val="center"/>
          </w:tcPr>
          <w:p w14:paraId="14AAFEA8" w14:textId="77777777" w:rsidR="003D39D3" w:rsidRPr="00AD33CF" w:rsidRDefault="003D39D3" w:rsidP="000F7655">
            <w:pPr>
              <w:spacing w:line="276" w:lineRule="auto"/>
              <w:jc w:val="both"/>
              <w:rPr>
                <w:rFonts w:asciiTheme="majorHAnsi" w:hAnsiTheme="majorHAnsi" w:cstheme="majorHAnsi"/>
                <w:b/>
                <w:sz w:val="20"/>
                <w:szCs w:val="20"/>
              </w:rPr>
            </w:pPr>
          </w:p>
        </w:tc>
        <w:tc>
          <w:tcPr>
            <w:tcW w:w="4699" w:type="dxa"/>
            <w:tcBorders>
              <w:top w:val="single" w:sz="8" w:space="0" w:color="A8D08D" w:themeColor="accent6" w:themeTint="99"/>
              <w:bottom w:val="single" w:sz="8" w:space="0" w:color="A8D08D" w:themeColor="accent6" w:themeTint="99"/>
            </w:tcBorders>
            <w:vAlign w:val="center"/>
          </w:tcPr>
          <w:p w14:paraId="7EF83736"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Gross Domestic Product – based on SUT-IOT, the final data</w:t>
            </w:r>
          </w:p>
        </w:tc>
        <w:tc>
          <w:tcPr>
            <w:tcW w:w="2194" w:type="dxa"/>
            <w:tcBorders>
              <w:top w:val="single" w:sz="8" w:space="0" w:color="A8D08D" w:themeColor="accent6" w:themeTint="99"/>
              <w:bottom w:val="single" w:sz="8" w:space="0" w:color="A8D08D" w:themeColor="accent6" w:themeTint="99"/>
            </w:tcBorders>
            <w:vAlign w:val="center"/>
          </w:tcPr>
          <w:p w14:paraId="136B1E10"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year (reference year + 21 months)</w:t>
            </w:r>
          </w:p>
        </w:tc>
      </w:tr>
      <w:tr w:rsidR="003D39D3" w:rsidRPr="00AD33CF" w14:paraId="0896A4C2" w14:textId="77777777" w:rsidTr="000F7655">
        <w:tc>
          <w:tcPr>
            <w:tcW w:w="2321" w:type="dxa"/>
            <w:tcBorders>
              <w:top w:val="single" w:sz="8" w:space="0" w:color="A8D08D" w:themeColor="accent6" w:themeTint="99"/>
              <w:bottom w:val="single" w:sz="8" w:space="0" w:color="A8D08D" w:themeColor="accent6" w:themeTint="99"/>
            </w:tcBorders>
            <w:vAlign w:val="center"/>
          </w:tcPr>
          <w:p w14:paraId="63BE493A" w14:textId="77777777" w:rsidR="003D39D3" w:rsidRPr="00AD33CF" w:rsidRDefault="003D39D3" w:rsidP="000F7655">
            <w:pPr>
              <w:spacing w:line="276" w:lineRule="auto"/>
              <w:jc w:val="both"/>
              <w:rPr>
                <w:rFonts w:asciiTheme="majorHAnsi" w:hAnsiTheme="majorHAnsi" w:cstheme="majorHAnsi"/>
                <w:b/>
                <w:sz w:val="20"/>
                <w:szCs w:val="20"/>
              </w:rPr>
            </w:pPr>
            <w:r w:rsidRPr="00AD33CF">
              <w:rPr>
                <w:rFonts w:asciiTheme="majorHAnsi" w:hAnsiTheme="majorHAnsi" w:cstheme="majorHAnsi"/>
                <w:b/>
                <w:sz w:val="20"/>
                <w:szCs w:val="20"/>
              </w:rPr>
              <w:t>Annual sector accounts</w:t>
            </w:r>
          </w:p>
        </w:tc>
        <w:tc>
          <w:tcPr>
            <w:tcW w:w="4699" w:type="dxa"/>
            <w:tcBorders>
              <w:top w:val="single" w:sz="8" w:space="0" w:color="A8D08D" w:themeColor="accent6" w:themeTint="99"/>
              <w:bottom w:val="single" w:sz="8" w:space="0" w:color="A8D08D" w:themeColor="accent6" w:themeTint="99"/>
            </w:tcBorders>
            <w:vAlign w:val="center"/>
          </w:tcPr>
          <w:p w14:paraId="160C1203"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Full set of annual non-financial sector accounts</w:t>
            </w:r>
          </w:p>
        </w:tc>
        <w:tc>
          <w:tcPr>
            <w:tcW w:w="2194" w:type="dxa"/>
            <w:tcBorders>
              <w:top w:val="single" w:sz="8" w:space="0" w:color="A8D08D" w:themeColor="accent6" w:themeTint="99"/>
              <w:bottom w:val="single" w:sz="8" w:space="0" w:color="A8D08D" w:themeColor="accent6" w:themeTint="99"/>
            </w:tcBorders>
            <w:vAlign w:val="center"/>
          </w:tcPr>
          <w:p w14:paraId="681BABB1"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year (reference year + 11 months)</w:t>
            </w:r>
          </w:p>
        </w:tc>
      </w:tr>
      <w:tr w:rsidR="003D39D3" w:rsidRPr="00AD33CF" w14:paraId="063FEA7A" w14:textId="77777777" w:rsidTr="000F7655">
        <w:tc>
          <w:tcPr>
            <w:tcW w:w="2321" w:type="dxa"/>
            <w:vMerge w:val="restart"/>
            <w:tcBorders>
              <w:top w:val="single" w:sz="8" w:space="0" w:color="A8D08D" w:themeColor="accent6" w:themeTint="99"/>
              <w:bottom w:val="single" w:sz="8" w:space="0" w:color="A8D08D" w:themeColor="accent6" w:themeTint="99"/>
            </w:tcBorders>
            <w:vAlign w:val="center"/>
          </w:tcPr>
          <w:p w14:paraId="163B58D5" w14:textId="77777777" w:rsidR="003D39D3" w:rsidRPr="00AD33CF" w:rsidRDefault="003D39D3" w:rsidP="000F7655">
            <w:pPr>
              <w:spacing w:line="276" w:lineRule="auto"/>
              <w:jc w:val="both"/>
              <w:rPr>
                <w:rFonts w:asciiTheme="majorHAnsi" w:hAnsiTheme="majorHAnsi" w:cstheme="majorHAnsi"/>
                <w:b/>
                <w:sz w:val="20"/>
                <w:szCs w:val="20"/>
              </w:rPr>
            </w:pPr>
            <w:r w:rsidRPr="00AD33CF">
              <w:rPr>
                <w:rFonts w:asciiTheme="majorHAnsi" w:hAnsiTheme="majorHAnsi" w:cstheme="majorHAnsi"/>
                <w:b/>
                <w:sz w:val="20"/>
                <w:szCs w:val="20"/>
              </w:rPr>
              <w:t>Regional accounts</w:t>
            </w:r>
          </w:p>
        </w:tc>
        <w:tc>
          <w:tcPr>
            <w:tcW w:w="4699" w:type="dxa"/>
            <w:tcBorders>
              <w:top w:val="single" w:sz="8" w:space="0" w:color="A8D08D" w:themeColor="accent6" w:themeTint="99"/>
              <w:bottom w:val="single" w:sz="8" w:space="0" w:color="A8D08D" w:themeColor="accent6" w:themeTint="99"/>
            </w:tcBorders>
            <w:vAlign w:val="center"/>
          </w:tcPr>
          <w:p w14:paraId="7DCB9940"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Regional GDP</w:t>
            </w:r>
          </w:p>
        </w:tc>
        <w:tc>
          <w:tcPr>
            <w:tcW w:w="2194" w:type="dxa"/>
            <w:tcBorders>
              <w:top w:val="single" w:sz="8" w:space="0" w:color="A8D08D" w:themeColor="accent6" w:themeTint="99"/>
              <w:bottom w:val="single" w:sz="8" w:space="0" w:color="A8D08D" w:themeColor="accent6" w:themeTint="99"/>
            </w:tcBorders>
            <w:vAlign w:val="center"/>
          </w:tcPr>
          <w:p w14:paraId="06C31D19"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year (reference year + 11 months)</w:t>
            </w:r>
          </w:p>
        </w:tc>
      </w:tr>
      <w:tr w:rsidR="003D39D3" w:rsidRPr="00AD33CF" w14:paraId="32E76750" w14:textId="77777777" w:rsidTr="000F7655">
        <w:tc>
          <w:tcPr>
            <w:tcW w:w="2321" w:type="dxa"/>
            <w:vMerge/>
            <w:tcBorders>
              <w:top w:val="single" w:sz="8" w:space="0" w:color="A8D08D" w:themeColor="accent6" w:themeTint="99"/>
              <w:bottom w:val="single" w:sz="8" w:space="0" w:color="A8D08D" w:themeColor="accent6" w:themeTint="99"/>
            </w:tcBorders>
            <w:vAlign w:val="center"/>
          </w:tcPr>
          <w:p w14:paraId="5D130C1B" w14:textId="77777777" w:rsidR="003D39D3" w:rsidRPr="00AD33CF" w:rsidRDefault="003D39D3" w:rsidP="000F7655">
            <w:pPr>
              <w:spacing w:line="276" w:lineRule="auto"/>
              <w:jc w:val="both"/>
              <w:rPr>
                <w:rFonts w:asciiTheme="majorHAnsi" w:hAnsiTheme="majorHAnsi" w:cstheme="majorHAnsi"/>
                <w:b/>
                <w:sz w:val="20"/>
                <w:szCs w:val="20"/>
              </w:rPr>
            </w:pPr>
          </w:p>
        </w:tc>
        <w:tc>
          <w:tcPr>
            <w:tcW w:w="4699" w:type="dxa"/>
            <w:tcBorders>
              <w:top w:val="single" w:sz="8" w:space="0" w:color="A8D08D" w:themeColor="accent6" w:themeTint="99"/>
              <w:bottom w:val="single" w:sz="8" w:space="0" w:color="A8D08D" w:themeColor="accent6" w:themeTint="99"/>
            </w:tcBorders>
            <w:vAlign w:val="center"/>
          </w:tcPr>
          <w:p w14:paraId="3EC45415"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Regional GDP – with breakdowns</w:t>
            </w:r>
          </w:p>
        </w:tc>
        <w:tc>
          <w:tcPr>
            <w:tcW w:w="2194" w:type="dxa"/>
            <w:tcBorders>
              <w:top w:val="single" w:sz="8" w:space="0" w:color="A8D08D" w:themeColor="accent6" w:themeTint="99"/>
              <w:bottom w:val="single" w:sz="8" w:space="0" w:color="A8D08D" w:themeColor="accent6" w:themeTint="99"/>
            </w:tcBorders>
            <w:vAlign w:val="center"/>
          </w:tcPr>
          <w:p w14:paraId="0CDA6F2A"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year (reference year + 15 months)</w:t>
            </w:r>
          </w:p>
        </w:tc>
      </w:tr>
      <w:tr w:rsidR="003D39D3" w:rsidRPr="00AD33CF" w14:paraId="6B85D752" w14:textId="77777777" w:rsidTr="000F7655">
        <w:tc>
          <w:tcPr>
            <w:tcW w:w="2321" w:type="dxa"/>
            <w:tcBorders>
              <w:top w:val="single" w:sz="8" w:space="0" w:color="A8D08D" w:themeColor="accent6" w:themeTint="99"/>
              <w:bottom w:val="single" w:sz="8" w:space="0" w:color="A8D08D" w:themeColor="accent6" w:themeTint="99"/>
            </w:tcBorders>
            <w:vAlign w:val="center"/>
          </w:tcPr>
          <w:p w14:paraId="727345B8" w14:textId="77777777" w:rsidR="003D39D3" w:rsidRPr="00AD33CF" w:rsidRDefault="003D39D3" w:rsidP="000F7655">
            <w:pPr>
              <w:spacing w:line="276" w:lineRule="auto"/>
              <w:jc w:val="both"/>
              <w:rPr>
                <w:rFonts w:asciiTheme="majorHAnsi" w:hAnsiTheme="majorHAnsi" w:cstheme="majorHAnsi"/>
                <w:b/>
                <w:sz w:val="20"/>
                <w:szCs w:val="20"/>
              </w:rPr>
            </w:pPr>
            <w:r w:rsidRPr="00AD33CF">
              <w:rPr>
                <w:rFonts w:asciiTheme="majorHAnsi" w:hAnsiTheme="majorHAnsi" w:cstheme="majorHAnsi"/>
                <w:b/>
                <w:sz w:val="20"/>
                <w:szCs w:val="20"/>
              </w:rPr>
              <w:t>SUTs/IOTs</w:t>
            </w:r>
          </w:p>
        </w:tc>
        <w:tc>
          <w:tcPr>
            <w:tcW w:w="4699" w:type="dxa"/>
            <w:tcBorders>
              <w:top w:val="single" w:sz="8" w:space="0" w:color="A8D08D" w:themeColor="accent6" w:themeTint="99"/>
              <w:bottom w:val="single" w:sz="8" w:space="0" w:color="A8D08D" w:themeColor="accent6" w:themeTint="99"/>
            </w:tcBorders>
            <w:vAlign w:val="center"/>
          </w:tcPr>
          <w:p w14:paraId="4B46A5FE"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Supply and use tables and Input-output tables</w:t>
            </w:r>
          </w:p>
        </w:tc>
        <w:tc>
          <w:tcPr>
            <w:tcW w:w="2194" w:type="dxa"/>
            <w:tcBorders>
              <w:top w:val="single" w:sz="8" w:space="0" w:color="A8D08D" w:themeColor="accent6" w:themeTint="99"/>
              <w:bottom w:val="single" w:sz="8" w:space="0" w:color="A8D08D" w:themeColor="accent6" w:themeTint="99"/>
            </w:tcBorders>
            <w:vAlign w:val="center"/>
          </w:tcPr>
          <w:p w14:paraId="705AEEBE"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year (reference year + 21 months)</w:t>
            </w:r>
          </w:p>
        </w:tc>
      </w:tr>
      <w:tr w:rsidR="003D39D3" w:rsidRPr="00AD33CF" w14:paraId="6C06FE3A" w14:textId="77777777" w:rsidTr="000F7655">
        <w:tc>
          <w:tcPr>
            <w:tcW w:w="2321" w:type="dxa"/>
            <w:tcBorders>
              <w:top w:val="single" w:sz="8" w:space="0" w:color="A8D08D" w:themeColor="accent6" w:themeTint="99"/>
              <w:bottom w:val="single" w:sz="8" w:space="0" w:color="auto"/>
            </w:tcBorders>
            <w:vAlign w:val="center"/>
          </w:tcPr>
          <w:p w14:paraId="08A25F00" w14:textId="77777777" w:rsidR="003D39D3" w:rsidRPr="00AD33CF" w:rsidRDefault="003D39D3" w:rsidP="000F7655">
            <w:pPr>
              <w:spacing w:line="276" w:lineRule="auto"/>
              <w:rPr>
                <w:rFonts w:asciiTheme="majorHAnsi" w:hAnsiTheme="majorHAnsi" w:cstheme="majorHAnsi"/>
                <w:b/>
                <w:sz w:val="20"/>
                <w:szCs w:val="20"/>
              </w:rPr>
            </w:pPr>
            <w:r w:rsidRPr="00AD33CF">
              <w:rPr>
                <w:rFonts w:asciiTheme="majorHAnsi" w:hAnsiTheme="majorHAnsi" w:cstheme="majorHAnsi"/>
                <w:b/>
                <w:sz w:val="20"/>
                <w:szCs w:val="20"/>
              </w:rPr>
              <w:t>Government finance statistics</w:t>
            </w:r>
          </w:p>
        </w:tc>
        <w:tc>
          <w:tcPr>
            <w:tcW w:w="4699" w:type="dxa"/>
            <w:tcBorders>
              <w:top w:val="single" w:sz="8" w:space="0" w:color="A8D08D" w:themeColor="accent6" w:themeTint="99"/>
              <w:bottom w:val="single" w:sz="8" w:space="0" w:color="auto"/>
            </w:tcBorders>
            <w:vAlign w:val="center"/>
          </w:tcPr>
          <w:p w14:paraId="5823405D"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Tax receipts and social contributions</w:t>
            </w:r>
          </w:p>
        </w:tc>
        <w:tc>
          <w:tcPr>
            <w:tcW w:w="2194" w:type="dxa"/>
            <w:tcBorders>
              <w:top w:val="single" w:sz="8" w:space="0" w:color="A8D08D" w:themeColor="accent6" w:themeTint="99"/>
              <w:bottom w:val="single" w:sz="8" w:space="0" w:color="auto"/>
            </w:tcBorders>
            <w:vAlign w:val="center"/>
          </w:tcPr>
          <w:p w14:paraId="5B6926EB" w14:textId="77777777" w:rsidR="003D39D3" w:rsidRPr="00AD33CF" w:rsidRDefault="003D39D3" w:rsidP="000F7655">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1 per year (reference year + 9 months)</w:t>
            </w:r>
          </w:p>
        </w:tc>
      </w:tr>
    </w:tbl>
    <w:p w14:paraId="6353F6BF" w14:textId="77777777" w:rsidR="003D39D3" w:rsidRPr="00AD33CF" w:rsidRDefault="003D39D3" w:rsidP="003D39D3">
      <w:pPr>
        <w:spacing w:after="0" w:line="276" w:lineRule="auto"/>
        <w:jc w:val="both"/>
        <w:rPr>
          <w:rFonts w:asciiTheme="majorHAnsi" w:eastAsiaTheme="minorHAnsi" w:hAnsiTheme="majorHAnsi" w:cstheme="majorHAnsi"/>
          <w:sz w:val="20"/>
          <w:szCs w:val="20"/>
          <w:highlight w:val="yellow"/>
        </w:rPr>
      </w:pPr>
    </w:p>
    <w:p w14:paraId="272DEB02" w14:textId="3BE25D1A" w:rsidR="003D39D3" w:rsidRDefault="003D39D3" w:rsidP="00846B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The flash estimate of GDP is published 30 days after the reference quarter as a single figure, showing Q to Q-4 real growth rate of GDP. Estimates of QNA aggregates are published 60 days after the end of the reference quarter. It covers GDP by production and expenditure approach with breakdown by categories.</w:t>
      </w:r>
    </w:p>
    <w:p w14:paraId="761A7CF8" w14:textId="77777777" w:rsidR="00846B13" w:rsidRPr="00AD33CF" w:rsidRDefault="00846B13" w:rsidP="00846B13">
      <w:pPr>
        <w:spacing w:after="0" w:line="276" w:lineRule="auto"/>
        <w:jc w:val="both"/>
        <w:rPr>
          <w:rFonts w:asciiTheme="majorHAnsi" w:eastAsiaTheme="minorHAnsi" w:hAnsiTheme="majorHAnsi" w:cstheme="majorHAnsi"/>
          <w:sz w:val="20"/>
          <w:szCs w:val="20"/>
        </w:rPr>
      </w:pPr>
    </w:p>
    <w:p w14:paraId="279D7B9A" w14:textId="77777777" w:rsidR="003D39D3" w:rsidRPr="00AD33CF" w:rsidRDefault="003D39D3" w:rsidP="003D39D3">
      <w:pPr>
        <w:spacing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 xml:space="preserve">The SORS estimation and publishing </w:t>
      </w:r>
      <w:proofErr w:type="spellStart"/>
      <w:r w:rsidRPr="00AD33CF">
        <w:rPr>
          <w:rFonts w:asciiTheme="majorHAnsi" w:eastAsiaTheme="minorHAnsi" w:hAnsiTheme="majorHAnsi" w:cstheme="majorHAnsi"/>
          <w:sz w:val="20"/>
          <w:szCs w:val="20"/>
        </w:rPr>
        <w:t>programme</w:t>
      </w:r>
      <w:proofErr w:type="spellEnd"/>
      <w:r w:rsidRPr="00AD33CF">
        <w:rPr>
          <w:rFonts w:asciiTheme="majorHAnsi" w:eastAsiaTheme="minorHAnsi" w:hAnsiTheme="majorHAnsi" w:cstheme="majorHAnsi"/>
          <w:sz w:val="20"/>
          <w:szCs w:val="20"/>
        </w:rPr>
        <w:t xml:space="preserve"> involves four successive annual GDP estimates:</w:t>
      </w:r>
    </w:p>
    <w:p w14:paraId="5F9B8E8C" w14:textId="77777777" w:rsidR="003D39D3" w:rsidRPr="00AD33CF" w:rsidRDefault="003D39D3" w:rsidP="003D39D3">
      <w:pPr>
        <w:pStyle w:val="ListParagraph"/>
        <w:numPr>
          <w:ilvl w:val="0"/>
          <w:numId w:val="28"/>
        </w:num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estimate, in the form of GDP growth rate, on the last working day of the reference year in the form of the statistical release of Economic trends;</w:t>
      </w:r>
    </w:p>
    <w:p w14:paraId="6DB87543" w14:textId="77777777" w:rsidR="003D39D3" w:rsidRPr="00AD33CF" w:rsidRDefault="003D39D3" w:rsidP="003D39D3">
      <w:pPr>
        <w:pStyle w:val="ListParagraph"/>
        <w:numPr>
          <w:ilvl w:val="0"/>
          <w:numId w:val="28"/>
        </w:num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estimate, as the sum of four quarterly GDP values, published at the end of February;</w:t>
      </w:r>
    </w:p>
    <w:p w14:paraId="58777477" w14:textId="77777777" w:rsidR="003D39D3" w:rsidRPr="00AD33CF" w:rsidRDefault="003D39D3" w:rsidP="003D39D3">
      <w:pPr>
        <w:pStyle w:val="ListParagraph"/>
        <w:numPr>
          <w:ilvl w:val="0"/>
          <w:numId w:val="28"/>
        </w:num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preliminary GDP data, resulting from annual GDP compilation, published at the end of September; and</w:t>
      </w:r>
    </w:p>
    <w:p w14:paraId="79BBCD12" w14:textId="77777777" w:rsidR="003D39D3" w:rsidRPr="00AD33CF" w:rsidRDefault="003D39D3" w:rsidP="003D39D3">
      <w:pPr>
        <w:pStyle w:val="ListParagraph"/>
        <w:numPr>
          <w:ilvl w:val="0"/>
          <w:numId w:val="28"/>
        </w:numPr>
        <w:spacing w:line="276" w:lineRule="auto"/>
        <w:jc w:val="both"/>
        <w:rPr>
          <w:rFonts w:asciiTheme="majorHAnsi" w:hAnsiTheme="majorHAnsi" w:cstheme="majorHAnsi"/>
          <w:sz w:val="20"/>
          <w:szCs w:val="20"/>
        </w:rPr>
      </w:pPr>
      <w:proofErr w:type="gramStart"/>
      <w:r w:rsidRPr="00AD33CF">
        <w:rPr>
          <w:rFonts w:asciiTheme="majorHAnsi" w:hAnsiTheme="majorHAnsi" w:cstheme="majorHAnsi"/>
          <w:sz w:val="20"/>
          <w:szCs w:val="20"/>
        </w:rPr>
        <w:t>the</w:t>
      </w:r>
      <w:proofErr w:type="gramEnd"/>
      <w:r w:rsidRPr="00AD33CF">
        <w:rPr>
          <w:rFonts w:asciiTheme="majorHAnsi" w:hAnsiTheme="majorHAnsi" w:cstheme="majorHAnsi"/>
          <w:sz w:val="20"/>
          <w:szCs w:val="20"/>
        </w:rPr>
        <w:t xml:space="preserve"> final data, released one year later, based on the results of input-output statistics, i.e. supply and use tables. </w:t>
      </w:r>
    </w:p>
    <w:p w14:paraId="05E90D21" w14:textId="6588EA05" w:rsidR="003A2E10" w:rsidRDefault="003A2E10"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lastRenderedPageBreak/>
        <w:t>Full set of annual non-financial sector accounts are published once a year, 11 months after the end of the reference year.</w:t>
      </w:r>
    </w:p>
    <w:p w14:paraId="5086A8C4" w14:textId="77777777" w:rsidR="00846B13" w:rsidRPr="00AD33CF" w:rsidRDefault="00846B13" w:rsidP="00291D13">
      <w:pPr>
        <w:spacing w:after="0" w:line="276" w:lineRule="auto"/>
        <w:jc w:val="both"/>
        <w:rPr>
          <w:rFonts w:asciiTheme="majorHAnsi" w:hAnsiTheme="majorHAnsi" w:cstheme="majorHAnsi"/>
          <w:sz w:val="20"/>
          <w:szCs w:val="20"/>
        </w:rPr>
      </w:pPr>
    </w:p>
    <w:p w14:paraId="58A95B3E" w14:textId="77777777" w:rsidR="003A2E10" w:rsidRPr="00AD33CF" w:rsidRDefault="003A2E10" w:rsidP="00291D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Regional accounts are published twice a year.</w:t>
      </w:r>
      <w:r w:rsidRPr="00AD33CF">
        <w:rPr>
          <w:rFonts w:eastAsiaTheme="minorHAnsi"/>
        </w:rPr>
        <w:t xml:space="preserve"> </w:t>
      </w:r>
      <w:r w:rsidRPr="00AD33CF">
        <w:rPr>
          <w:rFonts w:asciiTheme="majorHAnsi" w:eastAsiaTheme="minorHAnsi" w:hAnsiTheme="majorHAnsi" w:cstheme="majorHAnsi"/>
          <w:sz w:val="20"/>
          <w:szCs w:val="20"/>
        </w:rPr>
        <w:t xml:space="preserve">The publication in November is in the form of a statistical release - GDP by regions, while in March the publication is given in the form of a working document with detailed breakdown by categories. </w:t>
      </w:r>
    </w:p>
    <w:p w14:paraId="741E3276" w14:textId="77777777" w:rsidR="003A2E10" w:rsidRPr="00AD33CF" w:rsidRDefault="003A2E10" w:rsidP="00291D13">
      <w:pPr>
        <w:spacing w:after="0" w:line="276" w:lineRule="auto"/>
        <w:jc w:val="both"/>
        <w:rPr>
          <w:rFonts w:asciiTheme="majorHAnsi" w:eastAsiaTheme="minorHAnsi" w:hAnsiTheme="majorHAnsi" w:cstheme="majorHAnsi"/>
          <w:sz w:val="20"/>
          <w:szCs w:val="20"/>
        </w:rPr>
      </w:pPr>
    </w:p>
    <w:p w14:paraId="4582CA02" w14:textId="370A3206" w:rsidR="003A2E10" w:rsidRDefault="003A2E10"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Supply and use tables are published once a year and Input-output tables are published every fifth year, 21 months after the end of the reference year.</w:t>
      </w:r>
    </w:p>
    <w:p w14:paraId="1D2DD74A" w14:textId="77777777" w:rsidR="00846B13" w:rsidRPr="00AD33CF" w:rsidRDefault="00846B13" w:rsidP="00291D13">
      <w:pPr>
        <w:spacing w:after="0" w:line="276" w:lineRule="auto"/>
        <w:jc w:val="both"/>
        <w:rPr>
          <w:rFonts w:asciiTheme="majorHAnsi" w:hAnsiTheme="majorHAnsi" w:cstheme="majorHAnsi"/>
          <w:sz w:val="20"/>
          <w:szCs w:val="20"/>
        </w:rPr>
      </w:pPr>
    </w:p>
    <w:p w14:paraId="458C935B" w14:textId="09B002BB" w:rsidR="003A2E10" w:rsidRDefault="003A2E10"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Tax receipts and social contributions are published once a year, nine months after the end of the reference year.</w:t>
      </w:r>
    </w:p>
    <w:p w14:paraId="40658265" w14:textId="2101D511" w:rsidR="006E16E0" w:rsidRDefault="006E16E0" w:rsidP="003A2E10">
      <w:pPr>
        <w:jc w:val="both"/>
        <w:rPr>
          <w:rFonts w:asciiTheme="majorHAnsi" w:hAnsiTheme="majorHAnsi" w:cstheme="majorHAnsi"/>
          <w:sz w:val="20"/>
          <w:szCs w:val="20"/>
        </w:rPr>
      </w:pPr>
    </w:p>
    <w:p w14:paraId="5E57B328" w14:textId="33E897AE" w:rsidR="006E16E0" w:rsidRDefault="006E16E0" w:rsidP="003A2E10">
      <w:pPr>
        <w:jc w:val="both"/>
        <w:rPr>
          <w:rFonts w:asciiTheme="majorHAnsi" w:hAnsiTheme="majorHAnsi" w:cstheme="majorHAnsi"/>
          <w:sz w:val="20"/>
          <w:szCs w:val="20"/>
        </w:rPr>
      </w:pPr>
    </w:p>
    <w:p w14:paraId="7D0FBC0F" w14:textId="7A52F5D8" w:rsidR="006E16E0" w:rsidRDefault="006E16E0" w:rsidP="003A2E10">
      <w:pPr>
        <w:jc w:val="both"/>
        <w:rPr>
          <w:rFonts w:asciiTheme="majorHAnsi" w:hAnsiTheme="majorHAnsi" w:cstheme="majorHAnsi"/>
          <w:sz w:val="20"/>
          <w:szCs w:val="20"/>
        </w:rPr>
      </w:pPr>
    </w:p>
    <w:p w14:paraId="5BAE5ACD" w14:textId="713CEB6C" w:rsidR="006E16E0" w:rsidRDefault="006E16E0" w:rsidP="003A2E10">
      <w:pPr>
        <w:jc w:val="both"/>
        <w:rPr>
          <w:rFonts w:asciiTheme="majorHAnsi" w:hAnsiTheme="majorHAnsi" w:cstheme="majorHAnsi"/>
          <w:sz w:val="20"/>
          <w:szCs w:val="20"/>
        </w:rPr>
      </w:pPr>
    </w:p>
    <w:p w14:paraId="4920769C" w14:textId="27BB47FB" w:rsidR="006E16E0" w:rsidRDefault="006E16E0" w:rsidP="003A2E10">
      <w:pPr>
        <w:jc w:val="both"/>
        <w:rPr>
          <w:rFonts w:asciiTheme="majorHAnsi" w:hAnsiTheme="majorHAnsi" w:cstheme="majorHAnsi"/>
          <w:sz w:val="20"/>
          <w:szCs w:val="20"/>
        </w:rPr>
      </w:pPr>
    </w:p>
    <w:p w14:paraId="56C5434C" w14:textId="2E75BFEF" w:rsidR="006E16E0" w:rsidRDefault="006E16E0" w:rsidP="003A2E10">
      <w:pPr>
        <w:jc w:val="both"/>
        <w:rPr>
          <w:rFonts w:asciiTheme="majorHAnsi" w:hAnsiTheme="majorHAnsi" w:cstheme="majorHAnsi"/>
          <w:sz w:val="20"/>
          <w:szCs w:val="20"/>
        </w:rPr>
      </w:pPr>
    </w:p>
    <w:p w14:paraId="76510A37" w14:textId="5231F660" w:rsidR="006E16E0" w:rsidRDefault="006E16E0" w:rsidP="003A2E10">
      <w:pPr>
        <w:jc w:val="both"/>
        <w:rPr>
          <w:rFonts w:asciiTheme="majorHAnsi" w:hAnsiTheme="majorHAnsi" w:cstheme="majorHAnsi"/>
          <w:sz w:val="20"/>
          <w:szCs w:val="20"/>
        </w:rPr>
      </w:pPr>
    </w:p>
    <w:p w14:paraId="61C5A667" w14:textId="21C6184D" w:rsidR="006E16E0" w:rsidRDefault="006E16E0" w:rsidP="003A2E10">
      <w:pPr>
        <w:jc w:val="both"/>
        <w:rPr>
          <w:rFonts w:asciiTheme="majorHAnsi" w:hAnsiTheme="majorHAnsi" w:cstheme="majorHAnsi"/>
          <w:sz w:val="20"/>
          <w:szCs w:val="20"/>
        </w:rPr>
      </w:pPr>
    </w:p>
    <w:p w14:paraId="479EF3BA" w14:textId="6056F454" w:rsidR="006E16E0" w:rsidRDefault="006E16E0" w:rsidP="003A2E10">
      <w:pPr>
        <w:jc w:val="both"/>
        <w:rPr>
          <w:rFonts w:asciiTheme="majorHAnsi" w:hAnsiTheme="majorHAnsi" w:cstheme="majorHAnsi"/>
          <w:sz w:val="20"/>
          <w:szCs w:val="20"/>
        </w:rPr>
      </w:pPr>
    </w:p>
    <w:p w14:paraId="02E8340E" w14:textId="26C65972" w:rsidR="006E16E0" w:rsidRDefault="006E16E0" w:rsidP="003A2E10">
      <w:pPr>
        <w:jc w:val="both"/>
        <w:rPr>
          <w:rFonts w:asciiTheme="majorHAnsi" w:hAnsiTheme="majorHAnsi" w:cstheme="majorHAnsi"/>
          <w:sz w:val="20"/>
          <w:szCs w:val="20"/>
        </w:rPr>
      </w:pPr>
    </w:p>
    <w:p w14:paraId="226229CE" w14:textId="77164C97" w:rsidR="006E16E0" w:rsidRDefault="006E16E0" w:rsidP="003A2E10">
      <w:pPr>
        <w:jc w:val="both"/>
        <w:rPr>
          <w:rFonts w:asciiTheme="majorHAnsi" w:hAnsiTheme="majorHAnsi" w:cstheme="majorHAnsi"/>
          <w:sz w:val="20"/>
          <w:szCs w:val="20"/>
        </w:rPr>
      </w:pPr>
    </w:p>
    <w:p w14:paraId="2D854168" w14:textId="18594B62" w:rsidR="006E16E0" w:rsidRDefault="006E16E0" w:rsidP="003A2E10">
      <w:pPr>
        <w:jc w:val="both"/>
        <w:rPr>
          <w:rFonts w:asciiTheme="majorHAnsi" w:hAnsiTheme="majorHAnsi" w:cstheme="majorHAnsi"/>
          <w:sz w:val="20"/>
          <w:szCs w:val="20"/>
        </w:rPr>
      </w:pPr>
    </w:p>
    <w:p w14:paraId="34ADBCFA" w14:textId="528447CA" w:rsidR="006E16E0" w:rsidRDefault="006E16E0" w:rsidP="003A2E10">
      <w:pPr>
        <w:jc w:val="both"/>
        <w:rPr>
          <w:rFonts w:asciiTheme="majorHAnsi" w:hAnsiTheme="majorHAnsi" w:cstheme="majorHAnsi"/>
          <w:sz w:val="20"/>
          <w:szCs w:val="20"/>
        </w:rPr>
      </w:pPr>
    </w:p>
    <w:p w14:paraId="37C2E414" w14:textId="2A0ECC93" w:rsidR="006E16E0" w:rsidRDefault="006E16E0" w:rsidP="003A2E10">
      <w:pPr>
        <w:jc w:val="both"/>
        <w:rPr>
          <w:rFonts w:asciiTheme="majorHAnsi" w:hAnsiTheme="majorHAnsi" w:cstheme="majorHAnsi"/>
          <w:sz w:val="20"/>
          <w:szCs w:val="20"/>
        </w:rPr>
      </w:pPr>
    </w:p>
    <w:p w14:paraId="14CAF0CF" w14:textId="75CCA9AD" w:rsidR="006E16E0" w:rsidRDefault="006E16E0" w:rsidP="003A2E10">
      <w:pPr>
        <w:jc w:val="both"/>
        <w:rPr>
          <w:rFonts w:asciiTheme="majorHAnsi" w:hAnsiTheme="majorHAnsi" w:cstheme="majorHAnsi"/>
          <w:sz w:val="20"/>
          <w:szCs w:val="20"/>
        </w:rPr>
      </w:pPr>
    </w:p>
    <w:p w14:paraId="4796592B" w14:textId="16EC49F7" w:rsidR="006E16E0" w:rsidRDefault="006E16E0" w:rsidP="003A2E10">
      <w:pPr>
        <w:jc w:val="both"/>
        <w:rPr>
          <w:rFonts w:asciiTheme="majorHAnsi" w:hAnsiTheme="majorHAnsi" w:cstheme="majorHAnsi"/>
          <w:sz w:val="20"/>
          <w:szCs w:val="20"/>
        </w:rPr>
      </w:pPr>
    </w:p>
    <w:p w14:paraId="01DE59BB" w14:textId="77777777" w:rsidR="006E16E0" w:rsidRDefault="006E16E0" w:rsidP="003A2E10">
      <w:pPr>
        <w:jc w:val="both"/>
        <w:rPr>
          <w:rFonts w:asciiTheme="majorHAnsi" w:hAnsiTheme="majorHAnsi" w:cstheme="majorHAnsi"/>
          <w:sz w:val="20"/>
          <w:szCs w:val="20"/>
        </w:rPr>
      </w:pPr>
    </w:p>
    <w:p w14:paraId="69E939C8" w14:textId="1775075F" w:rsidR="006E16E0" w:rsidRDefault="006E16E0" w:rsidP="003A2E10">
      <w:pPr>
        <w:jc w:val="both"/>
        <w:rPr>
          <w:rFonts w:asciiTheme="majorHAnsi" w:hAnsiTheme="majorHAnsi" w:cstheme="majorHAnsi"/>
          <w:sz w:val="20"/>
          <w:szCs w:val="20"/>
        </w:rPr>
      </w:pPr>
    </w:p>
    <w:p w14:paraId="7FA88613" w14:textId="0BF0A13D" w:rsidR="006E16E0" w:rsidRDefault="006E16E0" w:rsidP="003A2E10">
      <w:pPr>
        <w:jc w:val="both"/>
        <w:rPr>
          <w:rFonts w:asciiTheme="majorHAnsi" w:hAnsiTheme="majorHAnsi" w:cstheme="majorHAnsi"/>
          <w:sz w:val="20"/>
          <w:szCs w:val="20"/>
        </w:rPr>
      </w:pPr>
    </w:p>
    <w:p w14:paraId="29666B1E" w14:textId="77777777" w:rsidR="008733A0" w:rsidRDefault="008733A0" w:rsidP="003A2E10">
      <w:pPr>
        <w:jc w:val="both"/>
        <w:rPr>
          <w:rFonts w:asciiTheme="majorHAnsi" w:hAnsiTheme="majorHAnsi" w:cstheme="majorHAnsi"/>
          <w:sz w:val="20"/>
          <w:szCs w:val="20"/>
        </w:rPr>
      </w:pPr>
    </w:p>
    <w:p w14:paraId="4132B0C1" w14:textId="20DDCF2E" w:rsidR="006E16E0" w:rsidRDefault="006E16E0" w:rsidP="003A2E10">
      <w:pPr>
        <w:jc w:val="both"/>
        <w:rPr>
          <w:rFonts w:asciiTheme="majorHAnsi" w:hAnsiTheme="majorHAnsi" w:cstheme="majorHAnsi"/>
          <w:sz w:val="20"/>
          <w:szCs w:val="20"/>
        </w:rPr>
      </w:pPr>
    </w:p>
    <w:p w14:paraId="4D805D03" w14:textId="5776987B" w:rsidR="008775ED" w:rsidRPr="00AD33CF" w:rsidRDefault="008775ED" w:rsidP="008775ED">
      <w:pPr>
        <w:pStyle w:val="Heading1"/>
        <w:rPr>
          <w:rFonts w:eastAsiaTheme="minorHAnsi"/>
        </w:rPr>
      </w:pPr>
      <w:bookmarkStart w:id="3" w:name="_Toc141874694"/>
      <w:r w:rsidRPr="00AD33CF">
        <w:rPr>
          <w:rFonts w:eastAsiaTheme="minorHAnsi"/>
        </w:rPr>
        <w:lastRenderedPageBreak/>
        <w:t>Routine revisions (Current revisions)</w:t>
      </w:r>
      <w:bookmarkEnd w:id="3"/>
    </w:p>
    <w:p w14:paraId="4E007EDB" w14:textId="77777777" w:rsidR="008733A0" w:rsidRDefault="008733A0" w:rsidP="00291D13">
      <w:pPr>
        <w:spacing w:after="0" w:line="276" w:lineRule="auto"/>
        <w:jc w:val="both"/>
        <w:rPr>
          <w:rFonts w:asciiTheme="majorHAnsi" w:eastAsiaTheme="minorHAnsi" w:hAnsiTheme="majorHAnsi" w:cstheme="majorHAnsi"/>
          <w:bCs/>
          <w:sz w:val="20"/>
          <w:szCs w:val="20"/>
        </w:rPr>
      </w:pPr>
    </w:p>
    <w:p w14:paraId="0DB21E8D" w14:textId="04A52170" w:rsidR="00B26C45" w:rsidRDefault="00B26C45" w:rsidP="00291D13">
      <w:pPr>
        <w:spacing w:after="0" w:line="276" w:lineRule="auto"/>
        <w:jc w:val="both"/>
        <w:rPr>
          <w:rFonts w:asciiTheme="majorHAnsi" w:eastAsiaTheme="minorHAnsi" w:hAnsiTheme="majorHAnsi" w:cstheme="majorHAnsi"/>
          <w:bCs/>
          <w:sz w:val="20"/>
          <w:szCs w:val="20"/>
        </w:rPr>
      </w:pPr>
      <w:r w:rsidRPr="00AD33CF">
        <w:rPr>
          <w:rFonts w:asciiTheme="majorHAnsi" w:eastAsiaTheme="minorHAnsi" w:hAnsiTheme="majorHAnsi" w:cstheme="majorHAnsi"/>
          <w:bCs/>
          <w:sz w:val="20"/>
          <w:szCs w:val="20"/>
        </w:rPr>
        <w:t xml:space="preserve">Routine revisions, by their nature, are an integral part of the process of data production (e.g., estimated values for missing data are replaced by data collected by statistical surveys). They are generally performed as a result of a continuous inflow of new information and incoming new data related to the past. </w:t>
      </w:r>
    </w:p>
    <w:p w14:paraId="237C590A" w14:textId="77777777" w:rsidR="00846B13" w:rsidRPr="00AD33CF" w:rsidRDefault="00846B13" w:rsidP="00291D13">
      <w:pPr>
        <w:spacing w:after="0" w:line="276" w:lineRule="auto"/>
        <w:jc w:val="both"/>
        <w:rPr>
          <w:rFonts w:asciiTheme="majorHAnsi" w:eastAsiaTheme="minorHAnsi" w:hAnsiTheme="majorHAnsi" w:cstheme="majorHAnsi"/>
          <w:bCs/>
          <w:sz w:val="20"/>
          <w:szCs w:val="20"/>
        </w:rPr>
      </w:pPr>
    </w:p>
    <w:p w14:paraId="054AC052" w14:textId="286C94DC" w:rsidR="00B26C45" w:rsidRDefault="00B26C45" w:rsidP="00291D13">
      <w:pPr>
        <w:spacing w:after="0" w:line="276" w:lineRule="auto"/>
        <w:jc w:val="both"/>
        <w:rPr>
          <w:rFonts w:asciiTheme="majorHAnsi" w:eastAsiaTheme="minorHAnsi" w:hAnsiTheme="majorHAnsi" w:cstheme="majorHAnsi"/>
          <w:bCs/>
          <w:sz w:val="20"/>
          <w:szCs w:val="20"/>
        </w:rPr>
      </w:pPr>
      <w:r w:rsidRPr="00AD33CF">
        <w:rPr>
          <w:rFonts w:asciiTheme="majorHAnsi" w:eastAsiaTheme="minorHAnsi" w:hAnsiTheme="majorHAnsi" w:cstheme="majorHAnsi"/>
          <w:bCs/>
          <w:sz w:val="20"/>
          <w:szCs w:val="20"/>
        </w:rPr>
        <w:t>Routine revisions are planned, announced and performed regularly according to specified dates at monthly, quarterly and annual basis.</w:t>
      </w:r>
    </w:p>
    <w:p w14:paraId="6897807B" w14:textId="77777777" w:rsidR="00846B13" w:rsidRPr="00AD33CF" w:rsidRDefault="00846B13" w:rsidP="00291D13">
      <w:pPr>
        <w:spacing w:after="0" w:line="276" w:lineRule="auto"/>
        <w:jc w:val="both"/>
        <w:rPr>
          <w:rFonts w:asciiTheme="majorHAnsi" w:eastAsiaTheme="minorHAnsi" w:hAnsiTheme="majorHAnsi" w:cstheme="majorHAnsi"/>
          <w:bCs/>
          <w:sz w:val="20"/>
          <w:szCs w:val="20"/>
        </w:rPr>
      </w:pPr>
    </w:p>
    <w:p w14:paraId="1FC0CD01" w14:textId="520D0AB4" w:rsidR="00B26C45" w:rsidRDefault="00B26C45" w:rsidP="00291D13">
      <w:pPr>
        <w:spacing w:after="0" w:line="276" w:lineRule="auto"/>
        <w:jc w:val="both"/>
        <w:rPr>
          <w:rFonts w:asciiTheme="majorHAnsi" w:eastAsiaTheme="minorHAnsi" w:hAnsiTheme="majorHAnsi" w:cstheme="majorHAnsi"/>
          <w:bCs/>
          <w:sz w:val="20"/>
          <w:szCs w:val="20"/>
        </w:rPr>
      </w:pPr>
      <w:r w:rsidRPr="00AD33CF">
        <w:rPr>
          <w:rFonts w:asciiTheme="majorHAnsi" w:eastAsiaTheme="minorHAnsi" w:hAnsiTheme="majorHAnsi" w:cstheme="majorHAnsi"/>
          <w:bCs/>
          <w:sz w:val="20"/>
          <w:szCs w:val="20"/>
        </w:rPr>
        <w:t>These revisions are primarily oriented towards short-term statistics, which are more frequently subject to changes because of a shorter time interval between the period the data refer to and the date of their release. These revisions can also be performed in annual statistics.</w:t>
      </w:r>
    </w:p>
    <w:p w14:paraId="59606B0A" w14:textId="77777777" w:rsidR="00846B13" w:rsidRPr="00AD33CF" w:rsidRDefault="00846B13" w:rsidP="00846B13">
      <w:pPr>
        <w:spacing w:after="0"/>
        <w:jc w:val="both"/>
        <w:rPr>
          <w:rFonts w:asciiTheme="majorHAnsi" w:eastAsiaTheme="minorHAnsi" w:hAnsiTheme="majorHAnsi" w:cstheme="majorHAnsi"/>
          <w:bCs/>
          <w:sz w:val="20"/>
          <w:szCs w:val="20"/>
        </w:rPr>
      </w:pPr>
    </w:p>
    <w:p w14:paraId="7F14544A" w14:textId="4326281B" w:rsidR="004560A2" w:rsidRPr="00AD33CF" w:rsidRDefault="00286904" w:rsidP="004560A2">
      <w:pPr>
        <w:jc w:val="center"/>
        <w:rPr>
          <w:rFonts w:asciiTheme="majorHAnsi" w:eastAsiaTheme="minorHAnsi" w:hAnsiTheme="majorHAnsi" w:cstheme="majorHAnsi"/>
          <w:b/>
          <w:bCs/>
          <w:sz w:val="20"/>
          <w:szCs w:val="20"/>
        </w:rPr>
      </w:pPr>
      <w:r w:rsidRPr="00AD33CF">
        <w:rPr>
          <w:rFonts w:asciiTheme="majorHAnsi" w:hAnsiTheme="majorHAnsi" w:cstheme="majorHAnsi"/>
          <w:b/>
          <w:sz w:val="20"/>
          <w:szCs w:val="20"/>
        </w:rPr>
        <w:t>National accounts main aggregates, quarterly data</w:t>
      </w: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13"/>
        <w:gridCol w:w="1431"/>
        <w:gridCol w:w="1871"/>
        <w:gridCol w:w="1868"/>
        <w:gridCol w:w="1877"/>
      </w:tblGrid>
      <w:tr w:rsidR="00CD3DBB" w:rsidRPr="00AD33CF" w14:paraId="77086056" w14:textId="77777777" w:rsidTr="00BF0746">
        <w:trPr>
          <w:trHeight w:val="416"/>
        </w:trPr>
        <w:tc>
          <w:tcPr>
            <w:tcW w:w="2376" w:type="dxa"/>
            <w:tcBorders>
              <w:top w:val="single" w:sz="8" w:space="0" w:color="auto"/>
              <w:bottom w:val="nil"/>
            </w:tcBorders>
            <w:shd w:val="clear" w:color="auto" w:fill="E2EFD9" w:themeFill="accent6" w:themeFillTint="33"/>
            <w:vAlign w:val="center"/>
          </w:tcPr>
          <w:p w14:paraId="4464B512" w14:textId="77777777" w:rsidR="00CD3DBB" w:rsidRPr="00AD33CF" w:rsidRDefault="00CD3DBB" w:rsidP="008775ED">
            <w:pPr>
              <w:spacing w:before="240"/>
              <w:rPr>
                <w:rFonts w:ascii="Calibri" w:hAnsi="Calibri" w:cs="Calibri"/>
                <w:b/>
                <w:sz w:val="18"/>
                <w:szCs w:val="18"/>
              </w:rPr>
            </w:pPr>
          </w:p>
        </w:tc>
        <w:tc>
          <w:tcPr>
            <w:tcW w:w="7200" w:type="dxa"/>
            <w:gridSpan w:val="4"/>
            <w:tcBorders>
              <w:top w:val="single" w:sz="8" w:space="0" w:color="auto"/>
              <w:bottom w:val="nil"/>
            </w:tcBorders>
            <w:shd w:val="clear" w:color="auto" w:fill="E2EFD9" w:themeFill="accent6" w:themeFillTint="33"/>
            <w:vAlign w:val="center"/>
          </w:tcPr>
          <w:p w14:paraId="32C62864" w14:textId="5D681ADA" w:rsidR="00CD3DBB" w:rsidRPr="00AD33CF" w:rsidRDefault="00CD3DBB" w:rsidP="008775ED">
            <w:pPr>
              <w:jc w:val="center"/>
              <w:rPr>
                <w:rFonts w:ascii="Calibri" w:hAnsi="Calibri" w:cs="Calibri"/>
                <w:b/>
                <w:sz w:val="18"/>
                <w:szCs w:val="18"/>
              </w:rPr>
            </w:pPr>
            <w:r w:rsidRPr="00AD33CF">
              <w:rPr>
                <w:rFonts w:ascii="Calibri" w:hAnsi="Calibri" w:cs="Calibri"/>
                <w:b/>
                <w:sz w:val="18"/>
                <w:szCs w:val="18"/>
              </w:rPr>
              <w:t>Date of release</w:t>
            </w:r>
          </w:p>
        </w:tc>
      </w:tr>
      <w:tr w:rsidR="00C26B86" w:rsidRPr="00AD33CF" w14:paraId="548DD96C" w14:textId="77777777" w:rsidTr="00BF0746">
        <w:trPr>
          <w:trHeight w:val="387"/>
        </w:trPr>
        <w:tc>
          <w:tcPr>
            <w:tcW w:w="2376" w:type="dxa"/>
            <w:tcBorders>
              <w:top w:val="nil"/>
              <w:bottom w:val="single" w:sz="8" w:space="0" w:color="A8D08D" w:themeColor="accent6" w:themeTint="99"/>
            </w:tcBorders>
            <w:shd w:val="clear" w:color="auto" w:fill="E2EFD9" w:themeFill="accent6" w:themeFillTint="33"/>
            <w:vAlign w:val="center"/>
          </w:tcPr>
          <w:p w14:paraId="5BE3703C" w14:textId="31D22CF1" w:rsidR="00CD3DBB" w:rsidRPr="00AD33CF" w:rsidRDefault="00CD3DBB" w:rsidP="008A3384">
            <w:pPr>
              <w:jc w:val="center"/>
              <w:rPr>
                <w:rFonts w:ascii="Calibri" w:hAnsi="Calibri" w:cs="Calibri"/>
                <w:b/>
                <w:sz w:val="18"/>
                <w:szCs w:val="18"/>
              </w:rPr>
            </w:pPr>
            <w:r w:rsidRPr="00AD33CF">
              <w:rPr>
                <w:rFonts w:ascii="Calibri" w:hAnsi="Calibri" w:cs="Calibri"/>
                <w:b/>
                <w:sz w:val="18"/>
                <w:szCs w:val="18"/>
              </w:rPr>
              <w:t>Year t</w:t>
            </w:r>
          </w:p>
        </w:tc>
        <w:tc>
          <w:tcPr>
            <w:tcW w:w="1455" w:type="dxa"/>
            <w:tcBorders>
              <w:top w:val="nil"/>
              <w:bottom w:val="single" w:sz="8" w:space="0" w:color="A8D08D" w:themeColor="accent6" w:themeTint="99"/>
            </w:tcBorders>
            <w:shd w:val="clear" w:color="auto" w:fill="E2EFD9" w:themeFill="accent6" w:themeFillTint="33"/>
            <w:vAlign w:val="center"/>
          </w:tcPr>
          <w:p w14:paraId="3F5594C0" w14:textId="00D8090E" w:rsidR="00921B49" w:rsidRPr="00AD33CF" w:rsidRDefault="00C26B86" w:rsidP="00C26B86">
            <w:pPr>
              <w:jc w:val="center"/>
              <w:rPr>
                <w:rFonts w:ascii="Calibri" w:hAnsi="Calibri" w:cs="Calibri"/>
                <w:b/>
                <w:sz w:val="18"/>
                <w:szCs w:val="18"/>
              </w:rPr>
            </w:pPr>
            <w:r w:rsidRPr="00AD33CF">
              <w:rPr>
                <w:rFonts w:ascii="Calibri" w:hAnsi="Calibri" w:cs="Calibri"/>
                <w:b/>
                <w:sz w:val="18"/>
                <w:szCs w:val="18"/>
              </w:rPr>
              <w:t>28/29 February</w:t>
            </w:r>
          </w:p>
        </w:tc>
        <w:tc>
          <w:tcPr>
            <w:tcW w:w="1915" w:type="dxa"/>
            <w:tcBorders>
              <w:top w:val="nil"/>
              <w:bottom w:val="single" w:sz="8" w:space="0" w:color="A8D08D" w:themeColor="accent6" w:themeTint="99"/>
            </w:tcBorders>
            <w:shd w:val="clear" w:color="auto" w:fill="E2EFD9" w:themeFill="accent6" w:themeFillTint="33"/>
            <w:vAlign w:val="center"/>
          </w:tcPr>
          <w:p w14:paraId="51385341" w14:textId="0B676B28" w:rsidR="00CD3DBB" w:rsidRPr="00AD33CF" w:rsidRDefault="00C26B86" w:rsidP="008A3384">
            <w:pPr>
              <w:jc w:val="center"/>
              <w:rPr>
                <w:rFonts w:ascii="Calibri" w:hAnsi="Calibri" w:cs="Calibri"/>
                <w:b/>
                <w:sz w:val="18"/>
                <w:szCs w:val="18"/>
              </w:rPr>
            </w:pPr>
            <w:r w:rsidRPr="00AD33CF">
              <w:rPr>
                <w:rFonts w:ascii="Calibri" w:hAnsi="Calibri" w:cs="Calibri"/>
                <w:b/>
                <w:sz w:val="18"/>
                <w:szCs w:val="18"/>
              </w:rPr>
              <w:t>31 May</w:t>
            </w:r>
          </w:p>
        </w:tc>
        <w:tc>
          <w:tcPr>
            <w:tcW w:w="1915" w:type="dxa"/>
            <w:tcBorders>
              <w:top w:val="nil"/>
              <w:bottom w:val="single" w:sz="8" w:space="0" w:color="A8D08D" w:themeColor="accent6" w:themeTint="99"/>
            </w:tcBorders>
            <w:shd w:val="clear" w:color="auto" w:fill="E2EFD9" w:themeFill="accent6" w:themeFillTint="33"/>
            <w:vAlign w:val="center"/>
          </w:tcPr>
          <w:p w14:paraId="78DEC5B8" w14:textId="078F1A3C" w:rsidR="00CD3DBB" w:rsidRPr="00AD33CF" w:rsidRDefault="00C26B86" w:rsidP="00C26B86">
            <w:pPr>
              <w:jc w:val="center"/>
              <w:rPr>
                <w:rFonts w:ascii="Calibri" w:hAnsi="Calibri" w:cs="Calibri"/>
                <w:b/>
                <w:sz w:val="18"/>
                <w:szCs w:val="18"/>
              </w:rPr>
            </w:pPr>
            <w:r w:rsidRPr="00AD33CF">
              <w:rPr>
                <w:rFonts w:ascii="Calibri" w:hAnsi="Calibri" w:cs="Calibri"/>
                <w:b/>
                <w:sz w:val="18"/>
                <w:szCs w:val="18"/>
              </w:rPr>
              <w:t>31 August</w:t>
            </w:r>
          </w:p>
        </w:tc>
        <w:tc>
          <w:tcPr>
            <w:tcW w:w="1915" w:type="dxa"/>
            <w:tcBorders>
              <w:top w:val="nil"/>
              <w:bottom w:val="single" w:sz="8" w:space="0" w:color="A8D08D" w:themeColor="accent6" w:themeTint="99"/>
            </w:tcBorders>
            <w:shd w:val="clear" w:color="auto" w:fill="E2EFD9" w:themeFill="accent6" w:themeFillTint="33"/>
            <w:vAlign w:val="center"/>
          </w:tcPr>
          <w:p w14:paraId="15540D45" w14:textId="623380BF" w:rsidR="00CD3DBB" w:rsidRPr="00AD33CF" w:rsidRDefault="00C26B86" w:rsidP="00C26B86">
            <w:pPr>
              <w:jc w:val="center"/>
              <w:rPr>
                <w:rFonts w:ascii="Calibri" w:hAnsi="Calibri" w:cs="Calibri"/>
                <w:b/>
                <w:sz w:val="18"/>
                <w:szCs w:val="18"/>
              </w:rPr>
            </w:pPr>
            <w:r w:rsidRPr="00AD33CF">
              <w:rPr>
                <w:rFonts w:ascii="Calibri" w:hAnsi="Calibri" w:cs="Calibri"/>
                <w:b/>
                <w:sz w:val="18"/>
                <w:szCs w:val="18"/>
              </w:rPr>
              <w:t>30 November</w:t>
            </w:r>
          </w:p>
        </w:tc>
      </w:tr>
      <w:tr w:rsidR="00CD3DBB" w:rsidRPr="00AD33CF" w14:paraId="0FFB3A8B" w14:textId="77777777" w:rsidTr="00BF0746">
        <w:tc>
          <w:tcPr>
            <w:tcW w:w="9576" w:type="dxa"/>
            <w:gridSpan w:val="5"/>
            <w:tcBorders>
              <w:top w:val="single" w:sz="8" w:space="0" w:color="A8D08D" w:themeColor="accent6" w:themeTint="99"/>
              <w:bottom w:val="single" w:sz="8" w:space="0" w:color="A8D08D" w:themeColor="accent6" w:themeTint="99"/>
            </w:tcBorders>
            <w:shd w:val="clear" w:color="auto" w:fill="C5E0B3" w:themeFill="accent6" w:themeFillTint="66"/>
            <w:vAlign w:val="center"/>
          </w:tcPr>
          <w:p w14:paraId="1764C58C" w14:textId="635DCA74" w:rsidR="00CD3DBB" w:rsidRPr="00AD33CF" w:rsidRDefault="0069209E" w:rsidP="0069209E">
            <w:pPr>
              <w:jc w:val="center"/>
              <w:rPr>
                <w:rFonts w:ascii="Calibri" w:hAnsi="Calibri" w:cs="Calibri"/>
                <w:b/>
                <w:sz w:val="18"/>
                <w:szCs w:val="18"/>
              </w:rPr>
            </w:pPr>
            <w:r w:rsidRPr="00AD33CF">
              <w:rPr>
                <w:rFonts w:ascii="Calibri" w:hAnsi="Calibri" w:cs="Calibri"/>
                <w:b/>
                <w:sz w:val="18"/>
                <w:szCs w:val="18"/>
              </w:rPr>
              <w:t>Non-seasonally adjusted data</w:t>
            </w:r>
          </w:p>
        </w:tc>
      </w:tr>
      <w:tr w:rsidR="00C26B86" w:rsidRPr="00AD33CF" w14:paraId="09500DC3" w14:textId="77777777" w:rsidTr="007B0F00">
        <w:tc>
          <w:tcPr>
            <w:tcW w:w="2376" w:type="dxa"/>
            <w:tcBorders>
              <w:top w:val="single" w:sz="4" w:space="0" w:color="auto"/>
              <w:bottom w:val="single" w:sz="8" w:space="0" w:color="A8D08D" w:themeColor="accent6" w:themeTint="99"/>
            </w:tcBorders>
            <w:vAlign w:val="center"/>
          </w:tcPr>
          <w:p w14:paraId="3401A031" w14:textId="77777777" w:rsidR="00CD3DBB" w:rsidRPr="00AD33CF" w:rsidRDefault="00CD3DBB" w:rsidP="00CD3DBB">
            <w:pPr>
              <w:rPr>
                <w:rFonts w:ascii="Calibri" w:hAnsi="Calibri" w:cs="Calibri"/>
                <w:b/>
                <w:sz w:val="18"/>
                <w:szCs w:val="18"/>
              </w:rPr>
            </w:pPr>
            <w:r w:rsidRPr="00AD33CF">
              <w:rPr>
                <w:rFonts w:ascii="Calibri" w:hAnsi="Calibri" w:cs="Calibri"/>
                <w:b/>
                <w:sz w:val="18"/>
                <w:szCs w:val="18"/>
              </w:rPr>
              <w:t>Latest quarter available</w:t>
            </w:r>
          </w:p>
        </w:tc>
        <w:tc>
          <w:tcPr>
            <w:tcW w:w="1455" w:type="dxa"/>
            <w:tcBorders>
              <w:top w:val="single" w:sz="8" w:space="0" w:color="A8D08D" w:themeColor="accent6" w:themeTint="99"/>
              <w:bottom w:val="single" w:sz="8" w:space="0" w:color="A8D08D" w:themeColor="accent6" w:themeTint="99"/>
            </w:tcBorders>
            <w:vAlign w:val="center"/>
          </w:tcPr>
          <w:p w14:paraId="3D6B4C65" w14:textId="2D35BC35"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t-1, Q4</w:t>
            </w:r>
          </w:p>
        </w:tc>
        <w:tc>
          <w:tcPr>
            <w:tcW w:w="1915" w:type="dxa"/>
            <w:tcBorders>
              <w:top w:val="single" w:sz="8" w:space="0" w:color="A8D08D" w:themeColor="accent6" w:themeTint="99"/>
              <w:bottom w:val="single" w:sz="8" w:space="0" w:color="A8D08D" w:themeColor="accent6" w:themeTint="99"/>
            </w:tcBorders>
            <w:vAlign w:val="center"/>
          </w:tcPr>
          <w:p w14:paraId="585E9B4D" w14:textId="5BAE8B4B"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 Q1</w:t>
            </w:r>
          </w:p>
        </w:tc>
        <w:tc>
          <w:tcPr>
            <w:tcW w:w="1915" w:type="dxa"/>
            <w:tcBorders>
              <w:top w:val="single" w:sz="8" w:space="0" w:color="A8D08D" w:themeColor="accent6" w:themeTint="99"/>
              <w:bottom w:val="single" w:sz="8" w:space="0" w:color="A8D08D" w:themeColor="accent6" w:themeTint="99"/>
            </w:tcBorders>
            <w:vAlign w:val="center"/>
          </w:tcPr>
          <w:p w14:paraId="4078C64B" w14:textId="3FA1B045"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 Q2</w:t>
            </w:r>
          </w:p>
        </w:tc>
        <w:tc>
          <w:tcPr>
            <w:tcW w:w="1915" w:type="dxa"/>
            <w:tcBorders>
              <w:top w:val="single" w:sz="4" w:space="0" w:color="auto"/>
              <w:bottom w:val="single" w:sz="8" w:space="0" w:color="A8D08D" w:themeColor="accent6" w:themeTint="99"/>
            </w:tcBorders>
            <w:vAlign w:val="center"/>
          </w:tcPr>
          <w:p w14:paraId="745C059B" w14:textId="43F303F9"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 Q3</w:t>
            </w:r>
          </w:p>
        </w:tc>
      </w:tr>
      <w:tr w:rsidR="00C26B86" w:rsidRPr="00AD33CF" w14:paraId="171664DE" w14:textId="77777777" w:rsidTr="007B0F00">
        <w:trPr>
          <w:trHeight w:val="1072"/>
        </w:trPr>
        <w:tc>
          <w:tcPr>
            <w:tcW w:w="2376" w:type="dxa"/>
            <w:tcBorders>
              <w:top w:val="single" w:sz="8" w:space="0" w:color="A8D08D" w:themeColor="accent6" w:themeTint="99"/>
            </w:tcBorders>
            <w:vAlign w:val="center"/>
          </w:tcPr>
          <w:p w14:paraId="5F2CAE75" w14:textId="77777777" w:rsidR="00CD3DBB" w:rsidRPr="00AD33CF" w:rsidRDefault="00CD3DBB" w:rsidP="00D35D21">
            <w:pPr>
              <w:jc w:val="both"/>
              <w:rPr>
                <w:rFonts w:ascii="Calibri" w:hAnsi="Calibri" w:cs="Calibri"/>
                <w:sz w:val="18"/>
                <w:szCs w:val="18"/>
              </w:rPr>
            </w:pPr>
            <w:r w:rsidRPr="00AD33CF">
              <w:rPr>
                <w:rFonts w:ascii="Calibri" w:hAnsi="Calibri" w:cs="Calibri"/>
                <w:b/>
                <w:sz w:val="18"/>
                <w:szCs w:val="18"/>
              </w:rPr>
              <w:t>Depth of revisions (max)</w:t>
            </w:r>
          </w:p>
        </w:tc>
        <w:tc>
          <w:tcPr>
            <w:tcW w:w="1455" w:type="dxa"/>
            <w:tcBorders>
              <w:top w:val="single" w:sz="8" w:space="0" w:color="A8D08D" w:themeColor="accent6" w:themeTint="99"/>
              <w:bottom w:val="single" w:sz="8" w:space="0" w:color="A8D08D" w:themeColor="accent6" w:themeTint="99"/>
            </w:tcBorders>
            <w:vAlign w:val="center"/>
          </w:tcPr>
          <w:p w14:paraId="502D9652" w14:textId="77777777" w:rsidR="00CD3DBB" w:rsidRPr="00AD33CF" w:rsidRDefault="00CD3DBB" w:rsidP="00CD3DBB">
            <w:pPr>
              <w:jc w:val="center"/>
              <w:rPr>
                <w:rFonts w:ascii="Calibri" w:hAnsi="Calibri" w:cs="Calibri"/>
                <w:sz w:val="18"/>
                <w:szCs w:val="18"/>
              </w:rPr>
            </w:pPr>
          </w:p>
          <w:p w14:paraId="7FEC9D21" w14:textId="77777777" w:rsidR="00CD3DBB" w:rsidRPr="00AD33CF" w:rsidRDefault="00CD3DBB" w:rsidP="00CD3DBB">
            <w:pPr>
              <w:jc w:val="center"/>
              <w:rPr>
                <w:rFonts w:ascii="Calibri" w:hAnsi="Calibri" w:cs="Calibri"/>
                <w:b/>
                <w:sz w:val="18"/>
                <w:szCs w:val="18"/>
              </w:rPr>
            </w:pPr>
            <w:r w:rsidRPr="00AD33CF">
              <w:rPr>
                <w:rFonts w:ascii="Calibri" w:hAnsi="Calibri" w:cs="Calibri"/>
                <w:b/>
                <w:sz w:val="18"/>
                <w:szCs w:val="18"/>
              </w:rPr>
              <w:t>3 quarters</w:t>
            </w:r>
          </w:p>
          <w:p w14:paraId="3354F6EC" w14:textId="77777777" w:rsidR="00CD3DBB" w:rsidRPr="00AD33CF" w:rsidRDefault="00CD3DBB" w:rsidP="00CD3DBB">
            <w:pPr>
              <w:rPr>
                <w:rFonts w:ascii="Calibri" w:hAnsi="Calibri" w:cs="Calibri"/>
                <w:sz w:val="18"/>
                <w:szCs w:val="18"/>
              </w:rPr>
            </w:pPr>
          </w:p>
          <w:p w14:paraId="5D917FFE" w14:textId="102EA126" w:rsidR="00CD3DBB" w:rsidRPr="00AD33CF" w:rsidRDefault="00CD3DBB" w:rsidP="00CD3DBB">
            <w:pPr>
              <w:rPr>
                <w:rFonts w:ascii="Calibri" w:hAnsi="Calibri" w:cs="Calibri"/>
                <w:sz w:val="18"/>
                <w:szCs w:val="18"/>
              </w:rPr>
            </w:pPr>
            <w:r w:rsidRPr="00AD33CF">
              <w:rPr>
                <w:rFonts w:ascii="Calibri" w:hAnsi="Calibri" w:cs="Calibri"/>
                <w:sz w:val="18"/>
                <w:szCs w:val="18"/>
              </w:rPr>
              <w:t>Year t-1, Q1-Q3</w:t>
            </w:r>
          </w:p>
          <w:p w14:paraId="31E81F52" w14:textId="77777777" w:rsidR="00CD3DBB" w:rsidRPr="00AD33CF" w:rsidRDefault="00CD3DBB" w:rsidP="00CD3DBB">
            <w:pPr>
              <w:rPr>
                <w:rFonts w:ascii="Calibri" w:hAnsi="Calibri" w:cs="Calibri"/>
                <w:sz w:val="18"/>
                <w:szCs w:val="18"/>
              </w:rPr>
            </w:pPr>
          </w:p>
          <w:p w14:paraId="310663C8" w14:textId="77777777" w:rsidR="00CD3DBB" w:rsidRPr="00AD33CF" w:rsidRDefault="00CD3DBB" w:rsidP="00CD3DBB">
            <w:pPr>
              <w:rPr>
                <w:rFonts w:ascii="Calibri" w:hAnsi="Calibri" w:cs="Calibri"/>
                <w:sz w:val="18"/>
                <w:szCs w:val="18"/>
              </w:rPr>
            </w:pPr>
            <w:r w:rsidRPr="00AD33CF">
              <w:rPr>
                <w:rFonts w:ascii="Calibri" w:hAnsi="Calibri" w:cs="Calibri"/>
                <w:sz w:val="18"/>
                <w:szCs w:val="18"/>
              </w:rPr>
              <w:t xml:space="preserve"> </w:t>
            </w:r>
          </w:p>
          <w:p w14:paraId="5D2EC513" w14:textId="77777777" w:rsidR="00CD3DBB" w:rsidRPr="00AD33CF" w:rsidRDefault="00CD3DBB" w:rsidP="00CD3DBB">
            <w:pPr>
              <w:jc w:val="center"/>
              <w:rPr>
                <w:rFonts w:ascii="Calibri" w:hAnsi="Calibri" w:cs="Calibri"/>
                <w:sz w:val="18"/>
                <w:szCs w:val="18"/>
              </w:rPr>
            </w:pPr>
          </w:p>
        </w:tc>
        <w:tc>
          <w:tcPr>
            <w:tcW w:w="1915" w:type="dxa"/>
            <w:tcBorders>
              <w:top w:val="single" w:sz="8" w:space="0" w:color="A8D08D" w:themeColor="accent6" w:themeTint="99"/>
              <w:bottom w:val="single" w:sz="8" w:space="0" w:color="A8D08D" w:themeColor="accent6" w:themeTint="99"/>
            </w:tcBorders>
            <w:vAlign w:val="center"/>
          </w:tcPr>
          <w:p w14:paraId="664B4670" w14:textId="77777777" w:rsidR="00CD3DBB" w:rsidRPr="00AD33CF" w:rsidRDefault="00CD3DBB" w:rsidP="00CD3DBB">
            <w:pPr>
              <w:jc w:val="center"/>
              <w:rPr>
                <w:rFonts w:ascii="Calibri" w:hAnsi="Calibri" w:cs="Calibri"/>
                <w:b/>
                <w:sz w:val="18"/>
                <w:szCs w:val="18"/>
              </w:rPr>
            </w:pPr>
            <w:r w:rsidRPr="00AD33CF">
              <w:rPr>
                <w:rFonts w:ascii="Calibri" w:hAnsi="Calibri" w:cs="Calibri"/>
                <w:b/>
                <w:sz w:val="18"/>
                <w:szCs w:val="18"/>
              </w:rPr>
              <w:t>8 quarters</w:t>
            </w:r>
          </w:p>
          <w:p w14:paraId="70DA1D09" w14:textId="77777777" w:rsidR="00CD3DBB" w:rsidRPr="00AD33CF" w:rsidRDefault="00CD3DBB" w:rsidP="00CD3DBB">
            <w:pPr>
              <w:jc w:val="center"/>
              <w:rPr>
                <w:rFonts w:ascii="Calibri" w:hAnsi="Calibri" w:cs="Calibri"/>
                <w:sz w:val="18"/>
                <w:szCs w:val="18"/>
              </w:rPr>
            </w:pPr>
          </w:p>
          <w:p w14:paraId="7A98E71D" w14:textId="61F555D5"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t-1, Q1–Q4</w:t>
            </w:r>
          </w:p>
          <w:p w14:paraId="56E745AF" w14:textId="73FD7213"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t-2, Q1–Q4</w:t>
            </w:r>
          </w:p>
          <w:p w14:paraId="0169380C" w14:textId="77777777" w:rsidR="00CD3DBB" w:rsidRPr="00AD33CF" w:rsidRDefault="00CD3DBB" w:rsidP="00CD3DBB">
            <w:pPr>
              <w:jc w:val="center"/>
              <w:rPr>
                <w:rFonts w:ascii="Calibri" w:hAnsi="Calibri" w:cs="Calibri"/>
                <w:sz w:val="18"/>
                <w:szCs w:val="18"/>
              </w:rPr>
            </w:pPr>
          </w:p>
        </w:tc>
        <w:tc>
          <w:tcPr>
            <w:tcW w:w="1915" w:type="dxa"/>
            <w:tcBorders>
              <w:top w:val="single" w:sz="8" w:space="0" w:color="A8D08D" w:themeColor="accent6" w:themeTint="99"/>
              <w:bottom w:val="single" w:sz="8" w:space="0" w:color="A8D08D" w:themeColor="accent6" w:themeTint="99"/>
            </w:tcBorders>
            <w:vAlign w:val="center"/>
          </w:tcPr>
          <w:p w14:paraId="3C97E64C" w14:textId="0F87A97E" w:rsidR="00CD3DBB" w:rsidRPr="00AD33CF" w:rsidRDefault="00CD3DBB" w:rsidP="00CD3DBB">
            <w:pPr>
              <w:jc w:val="center"/>
              <w:rPr>
                <w:rFonts w:ascii="Calibri" w:hAnsi="Calibri" w:cs="Calibri"/>
                <w:b/>
                <w:sz w:val="18"/>
                <w:szCs w:val="18"/>
              </w:rPr>
            </w:pPr>
            <w:r w:rsidRPr="00AD33CF">
              <w:rPr>
                <w:rFonts w:ascii="Calibri" w:hAnsi="Calibri" w:cs="Calibri"/>
                <w:b/>
                <w:sz w:val="18"/>
                <w:szCs w:val="18"/>
              </w:rPr>
              <w:t>1 quarter</w:t>
            </w:r>
          </w:p>
          <w:p w14:paraId="2A6AC575" w14:textId="77777777" w:rsidR="00CD3DBB" w:rsidRPr="00AD33CF" w:rsidRDefault="00CD3DBB" w:rsidP="00CD3DBB">
            <w:pPr>
              <w:jc w:val="center"/>
              <w:rPr>
                <w:rFonts w:ascii="Calibri" w:hAnsi="Calibri" w:cs="Calibri"/>
                <w:sz w:val="18"/>
                <w:szCs w:val="18"/>
              </w:rPr>
            </w:pPr>
          </w:p>
          <w:p w14:paraId="5D25E242" w14:textId="1C023A2F"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 Q1</w:t>
            </w:r>
          </w:p>
          <w:p w14:paraId="1165E621" w14:textId="77777777" w:rsidR="00CD3DBB" w:rsidRPr="00AD33CF" w:rsidRDefault="00CD3DBB" w:rsidP="00CD3DBB">
            <w:pPr>
              <w:jc w:val="center"/>
              <w:rPr>
                <w:rFonts w:ascii="Calibri" w:hAnsi="Calibri" w:cs="Calibri"/>
                <w:sz w:val="18"/>
                <w:szCs w:val="18"/>
              </w:rPr>
            </w:pPr>
          </w:p>
          <w:p w14:paraId="0D3A45E6" w14:textId="77777777" w:rsidR="00CD3DBB" w:rsidRPr="00AD33CF" w:rsidRDefault="00CD3DBB" w:rsidP="00CD3DBB">
            <w:pPr>
              <w:jc w:val="center"/>
              <w:rPr>
                <w:rFonts w:ascii="Calibri" w:hAnsi="Calibri" w:cs="Calibri"/>
                <w:sz w:val="18"/>
                <w:szCs w:val="18"/>
              </w:rPr>
            </w:pPr>
          </w:p>
        </w:tc>
        <w:tc>
          <w:tcPr>
            <w:tcW w:w="1915" w:type="dxa"/>
            <w:tcBorders>
              <w:top w:val="single" w:sz="8" w:space="0" w:color="A8D08D" w:themeColor="accent6" w:themeTint="99"/>
            </w:tcBorders>
            <w:vAlign w:val="center"/>
          </w:tcPr>
          <w:p w14:paraId="0F984E17" w14:textId="77777777" w:rsidR="00CD3DBB" w:rsidRPr="00AD33CF" w:rsidRDefault="00CD3DBB" w:rsidP="00CD3DBB">
            <w:pPr>
              <w:jc w:val="center"/>
              <w:rPr>
                <w:rFonts w:ascii="Calibri" w:hAnsi="Calibri" w:cs="Calibri"/>
                <w:b/>
                <w:sz w:val="18"/>
                <w:szCs w:val="18"/>
              </w:rPr>
            </w:pPr>
            <w:r w:rsidRPr="00AD33CF">
              <w:rPr>
                <w:rFonts w:ascii="Calibri" w:hAnsi="Calibri" w:cs="Calibri"/>
                <w:b/>
                <w:sz w:val="18"/>
                <w:szCs w:val="18"/>
              </w:rPr>
              <w:t>10 quarters</w:t>
            </w:r>
          </w:p>
          <w:p w14:paraId="60F89169" w14:textId="77777777" w:rsidR="00CD3DBB" w:rsidRPr="00AD33CF" w:rsidRDefault="00CD3DBB" w:rsidP="00CD3DBB">
            <w:pPr>
              <w:jc w:val="center"/>
              <w:rPr>
                <w:rFonts w:ascii="Calibri" w:hAnsi="Calibri" w:cs="Calibri"/>
                <w:sz w:val="18"/>
                <w:szCs w:val="18"/>
              </w:rPr>
            </w:pPr>
          </w:p>
          <w:p w14:paraId="3AEF46CE" w14:textId="61157F3A"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 Q1–Q2</w:t>
            </w:r>
          </w:p>
          <w:p w14:paraId="087C28A0" w14:textId="0E7B5864"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t-1, Q1–Q4</w:t>
            </w:r>
          </w:p>
          <w:p w14:paraId="1E2F4929" w14:textId="1F3B1694" w:rsidR="00CD3DBB" w:rsidRPr="00AD33CF" w:rsidRDefault="00CD3DBB" w:rsidP="00CD3DBB">
            <w:pPr>
              <w:jc w:val="center"/>
              <w:rPr>
                <w:rFonts w:ascii="Calibri" w:hAnsi="Calibri" w:cs="Calibri"/>
                <w:sz w:val="18"/>
                <w:szCs w:val="18"/>
              </w:rPr>
            </w:pPr>
            <w:r w:rsidRPr="00AD33CF">
              <w:rPr>
                <w:rFonts w:ascii="Calibri" w:hAnsi="Calibri" w:cs="Calibri"/>
                <w:sz w:val="18"/>
                <w:szCs w:val="18"/>
              </w:rPr>
              <w:t>Year t-2, Q1–Q4</w:t>
            </w:r>
          </w:p>
        </w:tc>
      </w:tr>
      <w:tr w:rsidR="0069209E" w:rsidRPr="00AD33CF" w14:paraId="75AB9ABB" w14:textId="77777777" w:rsidTr="00BF0746">
        <w:trPr>
          <w:trHeight w:val="242"/>
        </w:trPr>
        <w:tc>
          <w:tcPr>
            <w:tcW w:w="9576" w:type="dxa"/>
            <w:gridSpan w:val="5"/>
            <w:tcBorders>
              <w:top w:val="single" w:sz="8" w:space="0" w:color="A8D08D" w:themeColor="accent6" w:themeTint="99"/>
              <w:bottom w:val="single" w:sz="8" w:space="0" w:color="A8D08D" w:themeColor="accent6" w:themeTint="99"/>
            </w:tcBorders>
            <w:shd w:val="clear" w:color="auto" w:fill="C5E0B3" w:themeFill="accent6" w:themeFillTint="66"/>
            <w:vAlign w:val="center"/>
          </w:tcPr>
          <w:p w14:paraId="11B55C88" w14:textId="350F21FA" w:rsidR="0069209E" w:rsidRPr="00AD33CF" w:rsidRDefault="0069209E" w:rsidP="0069209E">
            <w:pPr>
              <w:jc w:val="center"/>
              <w:rPr>
                <w:rFonts w:ascii="Calibri" w:hAnsi="Calibri" w:cs="Calibri"/>
                <w:b/>
                <w:sz w:val="18"/>
                <w:szCs w:val="18"/>
              </w:rPr>
            </w:pPr>
            <w:r w:rsidRPr="00AD33CF">
              <w:rPr>
                <w:rFonts w:ascii="Calibri" w:hAnsi="Calibri" w:cs="Calibri"/>
                <w:b/>
                <w:sz w:val="18"/>
                <w:szCs w:val="18"/>
              </w:rPr>
              <w:t>Seasonally adjusted data</w:t>
            </w:r>
          </w:p>
        </w:tc>
      </w:tr>
      <w:tr w:rsidR="0069209E" w:rsidRPr="00AD33CF" w14:paraId="7EEFD9F0" w14:textId="77777777" w:rsidTr="00BF0746">
        <w:trPr>
          <w:trHeight w:val="395"/>
        </w:trPr>
        <w:tc>
          <w:tcPr>
            <w:tcW w:w="2376" w:type="dxa"/>
            <w:tcBorders>
              <w:top w:val="single" w:sz="8" w:space="0" w:color="A8D08D" w:themeColor="accent6" w:themeTint="99"/>
              <w:bottom w:val="single" w:sz="8" w:space="0" w:color="000000" w:themeColor="text1"/>
            </w:tcBorders>
            <w:vAlign w:val="center"/>
          </w:tcPr>
          <w:p w14:paraId="3E0FE6E3" w14:textId="514364C2" w:rsidR="0069209E" w:rsidRPr="00AD33CF" w:rsidRDefault="0069209E" w:rsidP="0069209E">
            <w:pPr>
              <w:rPr>
                <w:rFonts w:ascii="Calibri" w:hAnsi="Calibri" w:cs="Calibri"/>
                <w:b/>
                <w:sz w:val="18"/>
                <w:szCs w:val="18"/>
              </w:rPr>
            </w:pPr>
            <w:r w:rsidRPr="00AD33CF">
              <w:rPr>
                <w:rFonts w:ascii="Calibri" w:hAnsi="Calibri" w:cs="Calibri"/>
                <w:b/>
                <w:sz w:val="18"/>
                <w:szCs w:val="18"/>
              </w:rPr>
              <w:t>Depth of revisions (max)</w:t>
            </w:r>
          </w:p>
        </w:tc>
        <w:tc>
          <w:tcPr>
            <w:tcW w:w="7200" w:type="dxa"/>
            <w:gridSpan w:val="4"/>
            <w:tcBorders>
              <w:top w:val="single" w:sz="8" w:space="0" w:color="A8D08D" w:themeColor="accent6" w:themeTint="99"/>
              <w:bottom w:val="single" w:sz="8" w:space="0" w:color="000000" w:themeColor="text1"/>
            </w:tcBorders>
            <w:vAlign w:val="center"/>
          </w:tcPr>
          <w:p w14:paraId="03195C20" w14:textId="3CCAA7BD" w:rsidR="0069209E" w:rsidRPr="00AD33CF" w:rsidRDefault="0069209E" w:rsidP="0069209E">
            <w:pPr>
              <w:jc w:val="center"/>
              <w:rPr>
                <w:rFonts w:asciiTheme="majorHAnsi" w:hAnsiTheme="majorHAnsi" w:cstheme="majorHAnsi"/>
                <w:sz w:val="20"/>
                <w:szCs w:val="20"/>
              </w:rPr>
            </w:pPr>
            <w:r w:rsidRPr="00AD33CF">
              <w:rPr>
                <w:rFonts w:ascii="Calibri" w:hAnsi="Calibri" w:cs="Calibri"/>
                <w:b/>
                <w:sz w:val="18"/>
                <w:szCs w:val="18"/>
              </w:rPr>
              <w:t>whole time series</w:t>
            </w:r>
          </w:p>
        </w:tc>
      </w:tr>
    </w:tbl>
    <w:p w14:paraId="71D75411" w14:textId="77777777" w:rsidR="00846B13" w:rsidRDefault="00846B13" w:rsidP="00291D13">
      <w:pPr>
        <w:spacing w:after="0" w:line="276" w:lineRule="auto"/>
        <w:jc w:val="both"/>
        <w:rPr>
          <w:rFonts w:asciiTheme="majorHAnsi" w:eastAsiaTheme="minorHAnsi" w:hAnsiTheme="majorHAnsi" w:cstheme="majorHAnsi"/>
          <w:sz w:val="20"/>
          <w:szCs w:val="20"/>
        </w:rPr>
      </w:pPr>
    </w:p>
    <w:p w14:paraId="6B011EF3" w14:textId="77777777" w:rsidR="00846B13" w:rsidRDefault="007336DB" w:rsidP="00291D13">
      <w:pPr>
        <w:spacing w:after="0" w:line="276" w:lineRule="auto"/>
        <w:jc w:val="both"/>
        <w:rPr>
          <w:rFonts w:asciiTheme="majorHAnsi" w:eastAsiaTheme="minorHAnsi" w:hAnsiTheme="majorHAnsi" w:cstheme="majorHAnsi"/>
          <w:sz w:val="20"/>
          <w:szCs w:val="20"/>
        </w:rPr>
      </w:pPr>
      <w:r w:rsidRPr="007336DB">
        <w:rPr>
          <w:rFonts w:asciiTheme="majorHAnsi" w:eastAsiaTheme="minorHAnsi" w:hAnsiTheme="majorHAnsi" w:cstheme="majorHAnsi"/>
          <w:sz w:val="20"/>
          <w:szCs w:val="20"/>
        </w:rPr>
        <w:t>Data for quarters of a current year are revised until the fourth quarter data are published: together with the second quarter data, revised data for the first quarter are published, together with the third quarter data, revised data for the first and the second quarters are published, together with the fourth quarter data, revised data for the first, the second and the third quarters are published. After the publication of the fourth quarter data, quarterly data are revised only due to reconciliation with annual accounts data.</w:t>
      </w:r>
    </w:p>
    <w:p w14:paraId="756A1BEB" w14:textId="07087870" w:rsidR="007336DB" w:rsidRPr="007336DB" w:rsidRDefault="007336DB" w:rsidP="00291D13">
      <w:pPr>
        <w:spacing w:after="0" w:line="276" w:lineRule="auto"/>
        <w:jc w:val="both"/>
        <w:rPr>
          <w:rFonts w:asciiTheme="majorHAnsi" w:eastAsiaTheme="minorHAnsi" w:hAnsiTheme="majorHAnsi" w:cstheme="majorHAnsi"/>
          <w:sz w:val="20"/>
          <w:szCs w:val="20"/>
        </w:rPr>
      </w:pPr>
      <w:r w:rsidRPr="007336DB">
        <w:rPr>
          <w:rFonts w:asciiTheme="majorHAnsi" w:eastAsiaTheme="minorHAnsi" w:hAnsiTheme="majorHAnsi" w:cstheme="majorHAnsi"/>
          <w:sz w:val="20"/>
          <w:szCs w:val="20"/>
        </w:rPr>
        <w:t xml:space="preserve"> </w:t>
      </w:r>
    </w:p>
    <w:p w14:paraId="02BE0A79" w14:textId="28F51DC0" w:rsidR="007336DB" w:rsidRDefault="007336DB" w:rsidP="00291D13">
      <w:pPr>
        <w:spacing w:after="0" w:line="276" w:lineRule="auto"/>
        <w:jc w:val="both"/>
        <w:rPr>
          <w:rFonts w:asciiTheme="majorHAnsi" w:eastAsiaTheme="minorHAnsi" w:hAnsiTheme="majorHAnsi" w:cstheme="majorHAnsi"/>
          <w:sz w:val="20"/>
          <w:szCs w:val="20"/>
        </w:rPr>
      </w:pPr>
      <w:r w:rsidRPr="007336DB">
        <w:rPr>
          <w:rFonts w:asciiTheme="majorHAnsi" w:eastAsiaTheme="minorHAnsi" w:hAnsiTheme="majorHAnsi" w:cstheme="majorHAnsi"/>
          <w:sz w:val="20"/>
          <w:szCs w:val="20"/>
        </w:rPr>
        <w:t>The first revision of quarterly data (due to reconciliation with annual accounts data) is carried out with available annual accounts data, obtained as the sum of four quarters; the second revision is carried out when the preliminary annual accounts data become available and the third – when the final annual accounts data have been determined. In these cases, the quarters of the current year and two previous years are revised. The exception to the general rule is seasonally adjusted data; they are revised in the context of the whole time series.</w:t>
      </w:r>
    </w:p>
    <w:p w14:paraId="5E831A93" w14:textId="0FD3A0D2" w:rsidR="00846B13" w:rsidRDefault="00846B13" w:rsidP="008733A0">
      <w:pPr>
        <w:spacing w:after="0" w:line="276" w:lineRule="auto"/>
        <w:jc w:val="both"/>
        <w:rPr>
          <w:rFonts w:asciiTheme="majorHAnsi" w:eastAsiaTheme="minorHAnsi" w:hAnsiTheme="majorHAnsi" w:cstheme="majorHAnsi"/>
          <w:sz w:val="20"/>
          <w:szCs w:val="20"/>
        </w:rPr>
      </w:pPr>
    </w:p>
    <w:p w14:paraId="44CD5415" w14:textId="471E281F" w:rsidR="00635494" w:rsidRDefault="00635494" w:rsidP="008733A0">
      <w:pPr>
        <w:spacing w:after="0" w:line="276" w:lineRule="auto"/>
        <w:jc w:val="both"/>
        <w:rPr>
          <w:rFonts w:asciiTheme="majorHAnsi" w:eastAsiaTheme="minorHAnsi" w:hAnsiTheme="majorHAnsi" w:cstheme="majorHAnsi"/>
          <w:sz w:val="20"/>
          <w:szCs w:val="20"/>
        </w:rPr>
      </w:pPr>
    </w:p>
    <w:p w14:paraId="6AF60227" w14:textId="0CE0F4C1" w:rsidR="00635494" w:rsidRDefault="00635494" w:rsidP="00846B13">
      <w:pPr>
        <w:spacing w:after="0"/>
        <w:jc w:val="both"/>
        <w:rPr>
          <w:rFonts w:asciiTheme="majorHAnsi" w:eastAsiaTheme="minorHAnsi" w:hAnsiTheme="majorHAnsi" w:cstheme="majorHAnsi"/>
          <w:sz w:val="20"/>
          <w:szCs w:val="20"/>
        </w:rPr>
      </w:pPr>
    </w:p>
    <w:p w14:paraId="2D1A3EB8" w14:textId="59002425" w:rsidR="00635494" w:rsidRDefault="00635494" w:rsidP="00846B13">
      <w:pPr>
        <w:spacing w:after="0"/>
        <w:jc w:val="both"/>
        <w:rPr>
          <w:rFonts w:asciiTheme="majorHAnsi" w:eastAsiaTheme="minorHAnsi" w:hAnsiTheme="majorHAnsi" w:cstheme="majorHAnsi"/>
          <w:sz w:val="20"/>
          <w:szCs w:val="20"/>
        </w:rPr>
      </w:pPr>
    </w:p>
    <w:p w14:paraId="75777D79" w14:textId="7148A20C" w:rsidR="00635494" w:rsidRDefault="00635494" w:rsidP="00846B13">
      <w:pPr>
        <w:spacing w:after="0"/>
        <w:jc w:val="both"/>
        <w:rPr>
          <w:rFonts w:asciiTheme="majorHAnsi" w:eastAsiaTheme="minorHAnsi" w:hAnsiTheme="majorHAnsi" w:cstheme="majorHAnsi"/>
          <w:sz w:val="20"/>
          <w:szCs w:val="20"/>
        </w:rPr>
      </w:pPr>
    </w:p>
    <w:p w14:paraId="032F0558" w14:textId="79269120" w:rsidR="004560A2" w:rsidRPr="00AD33CF" w:rsidRDefault="00286904" w:rsidP="00286904">
      <w:pPr>
        <w:spacing w:line="276" w:lineRule="auto"/>
        <w:jc w:val="center"/>
        <w:rPr>
          <w:rFonts w:asciiTheme="majorHAnsi" w:eastAsiaTheme="minorHAnsi" w:hAnsiTheme="majorHAnsi" w:cstheme="majorHAnsi"/>
          <w:b/>
          <w:bCs/>
          <w:sz w:val="20"/>
          <w:szCs w:val="20"/>
        </w:rPr>
      </w:pPr>
      <w:r w:rsidRPr="00AD33CF">
        <w:rPr>
          <w:rFonts w:asciiTheme="majorHAnsi" w:hAnsiTheme="majorHAnsi" w:cstheme="majorHAnsi"/>
          <w:b/>
          <w:sz w:val="20"/>
          <w:szCs w:val="20"/>
        </w:rPr>
        <w:lastRenderedPageBreak/>
        <w:t>National accounts main aggregates, annual data</w:t>
      </w:r>
    </w:p>
    <w:tbl>
      <w:tblPr>
        <w:tblStyle w:val="TableGrid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05"/>
        <w:gridCol w:w="1453"/>
        <w:gridCol w:w="1894"/>
      </w:tblGrid>
      <w:tr w:rsidR="004560A2" w:rsidRPr="00AD33CF" w14:paraId="2B803D78" w14:textId="77777777" w:rsidTr="00AB1172">
        <w:trPr>
          <w:trHeight w:val="416"/>
          <w:jc w:val="center"/>
        </w:trPr>
        <w:tc>
          <w:tcPr>
            <w:tcW w:w="2305" w:type="dxa"/>
            <w:tcBorders>
              <w:top w:val="single" w:sz="8" w:space="0" w:color="auto"/>
              <w:bottom w:val="nil"/>
            </w:tcBorders>
            <w:shd w:val="clear" w:color="auto" w:fill="E2EFD9" w:themeFill="accent6" w:themeFillTint="33"/>
            <w:vAlign w:val="center"/>
          </w:tcPr>
          <w:p w14:paraId="66175B2E" w14:textId="77777777" w:rsidR="004560A2" w:rsidRPr="00AD33CF" w:rsidRDefault="004560A2" w:rsidP="008A3384">
            <w:pPr>
              <w:rPr>
                <w:rFonts w:ascii="Calibri" w:hAnsi="Calibri" w:cs="Calibri"/>
                <w:b/>
                <w:sz w:val="18"/>
                <w:szCs w:val="18"/>
              </w:rPr>
            </w:pPr>
          </w:p>
        </w:tc>
        <w:tc>
          <w:tcPr>
            <w:tcW w:w="3347" w:type="dxa"/>
            <w:gridSpan w:val="2"/>
            <w:tcBorders>
              <w:top w:val="single" w:sz="8" w:space="0" w:color="auto"/>
              <w:bottom w:val="nil"/>
            </w:tcBorders>
            <w:shd w:val="clear" w:color="auto" w:fill="E2EFD9" w:themeFill="accent6" w:themeFillTint="33"/>
            <w:vAlign w:val="center"/>
          </w:tcPr>
          <w:p w14:paraId="2911D0B3" w14:textId="77777777" w:rsidR="004560A2" w:rsidRPr="00AD33CF" w:rsidRDefault="004560A2" w:rsidP="008A3384">
            <w:pPr>
              <w:jc w:val="center"/>
              <w:rPr>
                <w:rFonts w:ascii="Calibri" w:hAnsi="Calibri" w:cs="Calibri"/>
                <w:b/>
                <w:sz w:val="18"/>
                <w:szCs w:val="18"/>
              </w:rPr>
            </w:pPr>
            <w:r w:rsidRPr="00AD33CF">
              <w:rPr>
                <w:rFonts w:ascii="Calibri" w:hAnsi="Calibri" w:cs="Calibri"/>
                <w:b/>
                <w:sz w:val="18"/>
                <w:szCs w:val="18"/>
              </w:rPr>
              <w:t>Date of release</w:t>
            </w:r>
          </w:p>
        </w:tc>
      </w:tr>
      <w:tr w:rsidR="00C26B86" w:rsidRPr="00AD33CF" w14:paraId="5A5BEC5F" w14:textId="77777777" w:rsidTr="00AB1172">
        <w:trPr>
          <w:trHeight w:val="378"/>
          <w:jc w:val="center"/>
        </w:trPr>
        <w:tc>
          <w:tcPr>
            <w:tcW w:w="2305" w:type="dxa"/>
            <w:tcBorders>
              <w:top w:val="nil"/>
              <w:bottom w:val="single" w:sz="8" w:space="0" w:color="A8D08D" w:themeColor="accent6" w:themeTint="99"/>
            </w:tcBorders>
            <w:shd w:val="clear" w:color="auto" w:fill="E2EFD9" w:themeFill="accent6" w:themeFillTint="33"/>
            <w:vAlign w:val="center"/>
          </w:tcPr>
          <w:p w14:paraId="5C498C4D" w14:textId="25384C87" w:rsidR="00C26B86" w:rsidRPr="00AD33CF" w:rsidRDefault="00C26B86" w:rsidP="008A3384">
            <w:pPr>
              <w:jc w:val="center"/>
              <w:rPr>
                <w:rFonts w:ascii="Calibri" w:hAnsi="Calibri" w:cs="Calibri"/>
                <w:b/>
                <w:sz w:val="18"/>
                <w:szCs w:val="18"/>
              </w:rPr>
            </w:pPr>
            <w:r w:rsidRPr="00AD33CF">
              <w:rPr>
                <w:rFonts w:ascii="Calibri" w:hAnsi="Calibri" w:cs="Calibri"/>
                <w:b/>
                <w:sz w:val="18"/>
                <w:szCs w:val="18"/>
              </w:rPr>
              <w:t>Year t</w:t>
            </w:r>
          </w:p>
        </w:tc>
        <w:tc>
          <w:tcPr>
            <w:tcW w:w="1453" w:type="dxa"/>
            <w:tcBorders>
              <w:top w:val="nil"/>
              <w:bottom w:val="single" w:sz="8" w:space="0" w:color="A8D08D" w:themeColor="accent6" w:themeTint="99"/>
            </w:tcBorders>
            <w:shd w:val="clear" w:color="auto" w:fill="E2EFD9" w:themeFill="accent6" w:themeFillTint="33"/>
            <w:vAlign w:val="center"/>
          </w:tcPr>
          <w:p w14:paraId="0C985DA3" w14:textId="6F9E5687" w:rsidR="00C26B86" w:rsidRPr="00AD33CF" w:rsidRDefault="00C26B86" w:rsidP="008A3384">
            <w:pPr>
              <w:jc w:val="center"/>
              <w:rPr>
                <w:rFonts w:ascii="Calibri" w:hAnsi="Calibri" w:cs="Calibri"/>
                <w:b/>
                <w:sz w:val="18"/>
                <w:szCs w:val="18"/>
              </w:rPr>
            </w:pPr>
            <w:r w:rsidRPr="00AD33CF">
              <w:rPr>
                <w:rFonts w:ascii="Calibri" w:hAnsi="Calibri" w:cs="Calibri"/>
                <w:b/>
                <w:sz w:val="18"/>
                <w:szCs w:val="18"/>
              </w:rPr>
              <w:t xml:space="preserve"> 28/29 February</w:t>
            </w:r>
          </w:p>
        </w:tc>
        <w:tc>
          <w:tcPr>
            <w:tcW w:w="1894" w:type="dxa"/>
            <w:tcBorders>
              <w:top w:val="nil"/>
              <w:bottom w:val="single" w:sz="8" w:space="0" w:color="A8D08D" w:themeColor="accent6" w:themeTint="99"/>
            </w:tcBorders>
            <w:shd w:val="clear" w:color="auto" w:fill="E2EFD9" w:themeFill="accent6" w:themeFillTint="33"/>
            <w:vAlign w:val="center"/>
          </w:tcPr>
          <w:p w14:paraId="3E23D7AC" w14:textId="52D1A16B" w:rsidR="00C26B86" w:rsidRPr="00AD33CF" w:rsidRDefault="00C26B86" w:rsidP="00FF7CA5">
            <w:pPr>
              <w:jc w:val="center"/>
              <w:rPr>
                <w:rFonts w:ascii="Calibri" w:hAnsi="Calibri" w:cs="Calibri"/>
                <w:b/>
                <w:sz w:val="18"/>
                <w:szCs w:val="18"/>
              </w:rPr>
            </w:pPr>
            <w:r w:rsidRPr="00AD33CF">
              <w:rPr>
                <w:rFonts w:ascii="Calibri" w:hAnsi="Calibri" w:cs="Calibri"/>
                <w:b/>
                <w:sz w:val="18"/>
                <w:szCs w:val="18"/>
              </w:rPr>
              <w:t>30 September</w:t>
            </w:r>
          </w:p>
        </w:tc>
      </w:tr>
      <w:tr w:rsidR="00C26B86" w:rsidRPr="00AD33CF" w14:paraId="0E729DF0" w14:textId="77777777" w:rsidTr="00AB1172">
        <w:trPr>
          <w:jc w:val="center"/>
        </w:trPr>
        <w:tc>
          <w:tcPr>
            <w:tcW w:w="2305" w:type="dxa"/>
            <w:tcBorders>
              <w:top w:val="single" w:sz="8" w:space="0" w:color="A8D08D" w:themeColor="accent6" w:themeTint="99"/>
              <w:bottom w:val="single" w:sz="8" w:space="0" w:color="A8D08D" w:themeColor="accent6" w:themeTint="99"/>
            </w:tcBorders>
            <w:vAlign w:val="center"/>
          </w:tcPr>
          <w:p w14:paraId="32090A25" w14:textId="77777777" w:rsidR="00C26B86" w:rsidRPr="00AD33CF" w:rsidRDefault="00C26B86" w:rsidP="00CD3DBB">
            <w:pPr>
              <w:rPr>
                <w:rFonts w:ascii="Calibri" w:hAnsi="Calibri" w:cs="Calibri"/>
                <w:b/>
                <w:sz w:val="18"/>
                <w:szCs w:val="18"/>
              </w:rPr>
            </w:pPr>
            <w:r w:rsidRPr="00AD33CF">
              <w:rPr>
                <w:rFonts w:ascii="Calibri" w:hAnsi="Calibri" w:cs="Calibri"/>
                <w:b/>
                <w:sz w:val="18"/>
                <w:szCs w:val="18"/>
              </w:rPr>
              <w:t>Latest full year available</w:t>
            </w:r>
          </w:p>
        </w:tc>
        <w:tc>
          <w:tcPr>
            <w:tcW w:w="1453" w:type="dxa"/>
            <w:tcBorders>
              <w:top w:val="single" w:sz="8" w:space="0" w:color="A8D08D" w:themeColor="accent6" w:themeTint="99"/>
              <w:bottom w:val="single" w:sz="8" w:space="0" w:color="A8D08D" w:themeColor="accent6" w:themeTint="99"/>
            </w:tcBorders>
            <w:vAlign w:val="center"/>
          </w:tcPr>
          <w:p w14:paraId="1FD704BC" w14:textId="1014B258" w:rsidR="00C26B86" w:rsidRPr="00AD33CF" w:rsidRDefault="00C26B86" w:rsidP="00CD3DBB">
            <w:pPr>
              <w:jc w:val="center"/>
              <w:rPr>
                <w:rFonts w:ascii="Calibri" w:hAnsi="Calibri" w:cs="Calibri"/>
                <w:sz w:val="18"/>
                <w:szCs w:val="18"/>
              </w:rPr>
            </w:pPr>
            <w:r w:rsidRPr="00AD33CF">
              <w:rPr>
                <w:rFonts w:ascii="Calibri" w:hAnsi="Calibri" w:cs="Calibri"/>
                <w:sz w:val="18"/>
                <w:szCs w:val="18"/>
              </w:rPr>
              <w:t>Year t-1</w:t>
            </w:r>
          </w:p>
        </w:tc>
        <w:tc>
          <w:tcPr>
            <w:tcW w:w="1894" w:type="dxa"/>
            <w:tcBorders>
              <w:top w:val="single" w:sz="8" w:space="0" w:color="A8D08D" w:themeColor="accent6" w:themeTint="99"/>
              <w:bottom w:val="single" w:sz="8" w:space="0" w:color="A8D08D" w:themeColor="accent6" w:themeTint="99"/>
            </w:tcBorders>
            <w:vAlign w:val="center"/>
          </w:tcPr>
          <w:p w14:paraId="47675C1F" w14:textId="62278379" w:rsidR="00C26B86" w:rsidRPr="00AD33CF" w:rsidRDefault="00C26B86" w:rsidP="00CD3DBB">
            <w:pPr>
              <w:jc w:val="center"/>
              <w:rPr>
                <w:rFonts w:ascii="Calibri" w:hAnsi="Calibri" w:cs="Calibri"/>
                <w:sz w:val="18"/>
                <w:szCs w:val="18"/>
              </w:rPr>
            </w:pPr>
            <w:r w:rsidRPr="00AD33CF">
              <w:rPr>
                <w:rFonts w:ascii="Calibri" w:hAnsi="Calibri" w:cs="Calibri"/>
                <w:sz w:val="18"/>
                <w:szCs w:val="18"/>
              </w:rPr>
              <w:t>Year t-1</w:t>
            </w:r>
          </w:p>
        </w:tc>
      </w:tr>
      <w:tr w:rsidR="00C26B86" w:rsidRPr="00AD33CF" w14:paraId="09476C0C" w14:textId="77777777" w:rsidTr="00AB1172">
        <w:trPr>
          <w:jc w:val="center"/>
        </w:trPr>
        <w:tc>
          <w:tcPr>
            <w:tcW w:w="2305" w:type="dxa"/>
            <w:tcBorders>
              <w:top w:val="single" w:sz="8" w:space="0" w:color="A8D08D" w:themeColor="accent6" w:themeTint="99"/>
              <w:bottom w:val="single" w:sz="8" w:space="0" w:color="000000" w:themeColor="text1"/>
            </w:tcBorders>
            <w:vAlign w:val="center"/>
          </w:tcPr>
          <w:p w14:paraId="5E21AFD7" w14:textId="77777777" w:rsidR="00C26B86" w:rsidRPr="00AD33CF" w:rsidRDefault="00C26B86" w:rsidP="00D35D21">
            <w:pPr>
              <w:rPr>
                <w:rFonts w:ascii="Calibri" w:hAnsi="Calibri" w:cs="Calibri"/>
                <w:b/>
                <w:sz w:val="18"/>
                <w:szCs w:val="18"/>
              </w:rPr>
            </w:pPr>
            <w:r w:rsidRPr="00AD33CF">
              <w:rPr>
                <w:rFonts w:ascii="Calibri" w:hAnsi="Calibri" w:cs="Calibri"/>
                <w:b/>
                <w:sz w:val="18"/>
                <w:szCs w:val="18"/>
              </w:rPr>
              <w:t>Depth of revisions (max)</w:t>
            </w:r>
          </w:p>
        </w:tc>
        <w:tc>
          <w:tcPr>
            <w:tcW w:w="1453" w:type="dxa"/>
            <w:tcBorders>
              <w:top w:val="single" w:sz="8" w:space="0" w:color="A8D08D" w:themeColor="accent6" w:themeTint="99"/>
              <w:bottom w:val="single" w:sz="8" w:space="0" w:color="000000" w:themeColor="text1"/>
            </w:tcBorders>
            <w:vAlign w:val="center"/>
          </w:tcPr>
          <w:p w14:paraId="4D63B906" w14:textId="292A1D0A" w:rsidR="00C26B86" w:rsidRPr="00AD33CF" w:rsidRDefault="00C26B86" w:rsidP="00CD3DBB">
            <w:pPr>
              <w:jc w:val="center"/>
              <w:rPr>
                <w:rFonts w:ascii="Calibri" w:hAnsi="Calibri" w:cs="Calibri"/>
                <w:sz w:val="18"/>
                <w:szCs w:val="18"/>
              </w:rPr>
            </w:pPr>
            <w:r w:rsidRPr="00AD33CF">
              <w:rPr>
                <w:rFonts w:ascii="Calibri" w:hAnsi="Calibri" w:cs="Calibri"/>
                <w:sz w:val="18"/>
                <w:szCs w:val="18"/>
              </w:rPr>
              <w:t>-</w:t>
            </w:r>
          </w:p>
        </w:tc>
        <w:tc>
          <w:tcPr>
            <w:tcW w:w="1894" w:type="dxa"/>
            <w:tcBorders>
              <w:top w:val="single" w:sz="8" w:space="0" w:color="A8D08D" w:themeColor="accent6" w:themeTint="99"/>
              <w:bottom w:val="single" w:sz="8" w:space="0" w:color="000000" w:themeColor="text1"/>
            </w:tcBorders>
            <w:vAlign w:val="center"/>
          </w:tcPr>
          <w:p w14:paraId="661C9394" w14:textId="2267D379" w:rsidR="00C26B86" w:rsidRPr="00AD33CF" w:rsidRDefault="00C26B86" w:rsidP="00CD3DBB">
            <w:pPr>
              <w:jc w:val="center"/>
              <w:rPr>
                <w:rFonts w:ascii="Calibri" w:hAnsi="Calibri" w:cs="Calibri"/>
                <w:b/>
                <w:sz w:val="18"/>
                <w:szCs w:val="18"/>
              </w:rPr>
            </w:pPr>
            <w:r w:rsidRPr="00AD33CF">
              <w:rPr>
                <w:rFonts w:ascii="Calibri" w:hAnsi="Calibri" w:cs="Calibri"/>
                <w:b/>
                <w:sz w:val="18"/>
                <w:szCs w:val="18"/>
              </w:rPr>
              <w:t>2 years</w:t>
            </w:r>
          </w:p>
          <w:p w14:paraId="52E21870" w14:textId="7DEAC6C5" w:rsidR="00C26B86" w:rsidRPr="00AD33CF" w:rsidRDefault="00C26B86" w:rsidP="004560A2">
            <w:pPr>
              <w:jc w:val="center"/>
              <w:rPr>
                <w:rFonts w:ascii="Calibri" w:hAnsi="Calibri" w:cs="Calibri"/>
                <w:sz w:val="18"/>
                <w:szCs w:val="18"/>
              </w:rPr>
            </w:pPr>
            <w:r w:rsidRPr="00AD33CF">
              <w:rPr>
                <w:rFonts w:ascii="Calibri" w:hAnsi="Calibri" w:cs="Calibri"/>
                <w:sz w:val="18"/>
                <w:szCs w:val="18"/>
              </w:rPr>
              <w:t>Year t-1</w:t>
            </w:r>
          </w:p>
          <w:p w14:paraId="71567AAA" w14:textId="5B0466A1" w:rsidR="00C26B86" w:rsidRPr="00AD33CF" w:rsidRDefault="00C26B86" w:rsidP="004560A2">
            <w:pPr>
              <w:jc w:val="center"/>
              <w:rPr>
                <w:rFonts w:ascii="Calibri" w:hAnsi="Calibri" w:cs="Calibri"/>
                <w:sz w:val="18"/>
                <w:szCs w:val="18"/>
              </w:rPr>
            </w:pPr>
            <w:r w:rsidRPr="00AD33CF">
              <w:rPr>
                <w:rFonts w:ascii="Calibri" w:hAnsi="Calibri" w:cs="Calibri"/>
                <w:sz w:val="18"/>
                <w:szCs w:val="18"/>
              </w:rPr>
              <w:t>Year t-2</w:t>
            </w:r>
          </w:p>
        </w:tc>
      </w:tr>
    </w:tbl>
    <w:p w14:paraId="5FE737B6" w14:textId="77777777" w:rsidR="001E676B" w:rsidRDefault="001E676B" w:rsidP="001E676B">
      <w:pPr>
        <w:spacing w:after="0" w:line="276" w:lineRule="auto"/>
        <w:jc w:val="both"/>
        <w:rPr>
          <w:rFonts w:asciiTheme="majorHAnsi" w:eastAsiaTheme="minorHAnsi" w:hAnsiTheme="majorHAnsi" w:cstheme="majorHAnsi"/>
          <w:sz w:val="20"/>
          <w:szCs w:val="20"/>
        </w:rPr>
      </w:pPr>
    </w:p>
    <w:p w14:paraId="6AB7FF31" w14:textId="581C7131" w:rsidR="007336DB" w:rsidRDefault="007336DB" w:rsidP="00291D13">
      <w:pPr>
        <w:spacing w:after="0" w:line="276" w:lineRule="auto"/>
        <w:jc w:val="both"/>
        <w:rPr>
          <w:rFonts w:asciiTheme="majorHAnsi" w:eastAsiaTheme="minorHAnsi" w:hAnsiTheme="majorHAnsi" w:cstheme="majorHAnsi"/>
          <w:sz w:val="20"/>
          <w:szCs w:val="20"/>
        </w:rPr>
      </w:pPr>
      <w:r w:rsidRPr="007336DB">
        <w:rPr>
          <w:rFonts w:asciiTheme="majorHAnsi" w:eastAsiaTheme="minorHAnsi" w:hAnsiTheme="majorHAnsi" w:cstheme="majorHAnsi"/>
          <w:sz w:val="20"/>
          <w:szCs w:val="20"/>
        </w:rPr>
        <w:t>Revisions regarding annual national accounts are made once a year, at the end of September. In the year t, annual accounts data for year t-1, obtained as the sum of four quarters, are revised when the preliminary GDP data, as the result of annual GDP compilation, becomes available. In addition, preliminary GDP data for year t-2 is revised based on the results of input-output statistics, i.e. supply and use tables.</w:t>
      </w:r>
    </w:p>
    <w:p w14:paraId="562F404A" w14:textId="77777777" w:rsidR="001E676B" w:rsidRPr="007336DB" w:rsidRDefault="001E676B" w:rsidP="001E676B">
      <w:pPr>
        <w:spacing w:after="0" w:line="276" w:lineRule="auto"/>
        <w:jc w:val="both"/>
        <w:rPr>
          <w:rFonts w:asciiTheme="majorHAnsi" w:eastAsiaTheme="minorHAnsi" w:hAnsiTheme="majorHAnsi" w:cstheme="majorHAnsi"/>
          <w:sz w:val="20"/>
          <w:szCs w:val="20"/>
        </w:rPr>
      </w:pPr>
    </w:p>
    <w:p w14:paraId="3CCAC1C7" w14:textId="6FAFB6F6" w:rsidR="003C2890" w:rsidRPr="00AD33CF" w:rsidRDefault="003C2890" w:rsidP="003C2890">
      <w:pPr>
        <w:jc w:val="center"/>
        <w:rPr>
          <w:rFonts w:asciiTheme="majorHAnsi" w:eastAsiaTheme="minorHAnsi" w:hAnsiTheme="majorHAnsi" w:cstheme="majorHAnsi"/>
          <w:b/>
          <w:bCs/>
          <w:sz w:val="20"/>
          <w:szCs w:val="20"/>
        </w:rPr>
      </w:pPr>
      <w:r w:rsidRPr="00AD33CF">
        <w:rPr>
          <w:rFonts w:asciiTheme="majorHAnsi" w:eastAsiaTheme="minorHAnsi" w:hAnsiTheme="majorHAnsi" w:cstheme="majorHAnsi"/>
          <w:b/>
          <w:bCs/>
          <w:sz w:val="20"/>
          <w:szCs w:val="20"/>
        </w:rPr>
        <w:t>Regional data</w:t>
      </w:r>
    </w:p>
    <w:tbl>
      <w:tblPr>
        <w:tblStyle w:val="TableGrid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21"/>
        <w:gridCol w:w="1429"/>
        <w:gridCol w:w="1870"/>
      </w:tblGrid>
      <w:tr w:rsidR="003C2890" w:rsidRPr="00AD33CF" w14:paraId="2A0993CC" w14:textId="77777777" w:rsidTr="00AB1172">
        <w:trPr>
          <w:trHeight w:val="416"/>
          <w:jc w:val="center"/>
        </w:trPr>
        <w:tc>
          <w:tcPr>
            <w:tcW w:w="2321" w:type="dxa"/>
            <w:tcBorders>
              <w:top w:val="single" w:sz="8" w:space="0" w:color="auto"/>
              <w:bottom w:val="nil"/>
            </w:tcBorders>
            <w:shd w:val="clear" w:color="auto" w:fill="E2EFD9" w:themeFill="accent6" w:themeFillTint="33"/>
            <w:vAlign w:val="center"/>
          </w:tcPr>
          <w:p w14:paraId="4978B679" w14:textId="77777777" w:rsidR="003C2890" w:rsidRPr="00AD33CF" w:rsidRDefault="003C2890" w:rsidP="008A3384">
            <w:pPr>
              <w:rPr>
                <w:rFonts w:ascii="Calibri" w:hAnsi="Calibri" w:cs="Calibri"/>
                <w:b/>
                <w:sz w:val="18"/>
                <w:szCs w:val="18"/>
              </w:rPr>
            </w:pPr>
          </w:p>
        </w:tc>
        <w:tc>
          <w:tcPr>
            <w:tcW w:w="3299" w:type="dxa"/>
            <w:gridSpan w:val="2"/>
            <w:tcBorders>
              <w:top w:val="single" w:sz="8" w:space="0" w:color="auto"/>
              <w:bottom w:val="nil"/>
            </w:tcBorders>
            <w:shd w:val="clear" w:color="auto" w:fill="E2EFD9" w:themeFill="accent6" w:themeFillTint="33"/>
            <w:vAlign w:val="center"/>
          </w:tcPr>
          <w:p w14:paraId="36FD2F3A" w14:textId="77777777" w:rsidR="003C2890" w:rsidRPr="00AD33CF" w:rsidRDefault="003C2890" w:rsidP="008A3384">
            <w:pPr>
              <w:jc w:val="center"/>
              <w:rPr>
                <w:rFonts w:ascii="Calibri" w:hAnsi="Calibri" w:cs="Calibri"/>
                <w:b/>
                <w:sz w:val="18"/>
                <w:szCs w:val="18"/>
              </w:rPr>
            </w:pPr>
            <w:r w:rsidRPr="00AD33CF">
              <w:rPr>
                <w:rFonts w:ascii="Calibri" w:hAnsi="Calibri" w:cs="Calibri"/>
                <w:b/>
                <w:sz w:val="18"/>
                <w:szCs w:val="18"/>
              </w:rPr>
              <w:t>Date of release</w:t>
            </w:r>
          </w:p>
        </w:tc>
      </w:tr>
      <w:tr w:rsidR="00FF7CA5" w:rsidRPr="00AD33CF" w14:paraId="7668A41C" w14:textId="77777777" w:rsidTr="00AB1172">
        <w:trPr>
          <w:trHeight w:val="416"/>
          <w:jc w:val="center"/>
        </w:trPr>
        <w:tc>
          <w:tcPr>
            <w:tcW w:w="2321" w:type="dxa"/>
            <w:tcBorders>
              <w:top w:val="nil"/>
              <w:bottom w:val="single" w:sz="4" w:space="0" w:color="A8D08D" w:themeColor="accent6" w:themeTint="99"/>
            </w:tcBorders>
            <w:shd w:val="clear" w:color="auto" w:fill="E2EFD9" w:themeFill="accent6" w:themeFillTint="33"/>
            <w:vAlign w:val="center"/>
          </w:tcPr>
          <w:p w14:paraId="4C77B6C6" w14:textId="77777777" w:rsidR="00FF7CA5" w:rsidRPr="00AD33CF" w:rsidRDefault="00FF7CA5" w:rsidP="00FF7CA5">
            <w:pPr>
              <w:jc w:val="center"/>
              <w:rPr>
                <w:rFonts w:ascii="Calibri" w:hAnsi="Calibri" w:cs="Calibri"/>
                <w:b/>
                <w:sz w:val="18"/>
                <w:szCs w:val="18"/>
              </w:rPr>
            </w:pPr>
            <w:r w:rsidRPr="00AD33CF">
              <w:rPr>
                <w:rFonts w:ascii="Calibri" w:hAnsi="Calibri" w:cs="Calibri"/>
                <w:b/>
                <w:sz w:val="18"/>
                <w:szCs w:val="18"/>
              </w:rPr>
              <w:t>Year t</w:t>
            </w:r>
          </w:p>
          <w:p w14:paraId="27ABB694" w14:textId="77777777" w:rsidR="00FF7CA5" w:rsidRPr="00AD33CF" w:rsidRDefault="00FF7CA5" w:rsidP="00FF7CA5">
            <w:pPr>
              <w:jc w:val="center"/>
              <w:rPr>
                <w:rFonts w:ascii="Calibri" w:hAnsi="Calibri" w:cs="Calibri"/>
                <w:b/>
                <w:sz w:val="18"/>
                <w:szCs w:val="18"/>
              </w:rPr>
            </w:pPr>
          </w:p>
        </w:tc>
        <w:tc>
          <w:tcPr>
            <w:tcW w:w="1429" w:type="dxa"/>
            <w:tcBorders>
              <w:top w:val="nil"/>
              <w:bottom w:val="single" w:sz="4" w:space="0" w:color="A8D08D" w:themeColor="accent6" w:themeTint="99"/>
            </w:tcBorders>
            <w:shd w:val="clear" w:color="auto" w:fill="E2EFD9" w:themeFill="accent6" w:themeFillTint="33"/>
            <w:vAlign w:val="center"/>
          </w:tcPr>
          <w:p w14:paraId="01880DC8" w14:textId="11AFDB69" w:rsidR="00FF7CA5" w:rsidRPr="00AD33CF" w:rsidRDefault="00FF7CA5" w:rsidP="00FF7CA5">
            <w:pPr>
              <w:jc w:val="center"/>
              <w:rPr>
                <w:rFonts w:ascii="Calibri" w:hAnsi="Calibri" w:cs="Calibri"/>
                <w:b/>
                <w:sz w:val="18"/>
                <w:szCs w:val="18"/>
              </w:rPr>
            </w:pPr>
            <w:r w:rsidRPr="00AD33CF">
              <w:rPr>
                <w:rFonts w:ascii="Calibri" w:hAnsi="Calibri" w:cs="Calibri"/>
                <w:b/>
                <w:sz w:val="18"/>
                <w:szCs w:val="18"/>
              </w:rPr>
              <w:t>31 March</w:t>
            </w:r>
          </w:p>
        </w:tc>
        <w:tc>
          <w:tcPr>
            <w:tcW w:w="1870" w:type="dxa"/>
            <w:tcBorders>
              <w:top w:val="nil"/>
              <w:bottom w:val="single" w:sz="4" w:space="0" w:color="A8D08D" w:themeColor="accent6" w:themeTint="99"/>
            </w:tcBorders>
            <w:shd w:val="clear" w:color="auto" w:fill="E2EFD9" w:themeFill="accent6" w:themeFillTint="33"/>
            <w:vAlign w:val="center"/>
          </w:tcPr>
          <w:p w14:paraId="652C7A9C" w14:textId="1EE46EE1" w:rsidR="00FF7CA5" w:rsidRPr="00AD33CF" w:rsidRDefault="00FF7CA5" w:rsidP="00FF7CA5">
            <w:pPr>
              <w:jc w:val="center"/>
              <w:rPr>
                <w:rFonts w:ascii="Calibri" w:hAnsi="Calibri" w:cs="Calibri"/>
                <w:b/>
                <w:sz w:val="18"/>
                <w:szCs w:val="18"/>
              </w:rPr>
            </w:pPr>
            <w:r w:rsidRPr="00AD33CF">
              <w:rPr>
                <w:rFonts w:ascii="Calibri" w:hAnsi="Calibri" w:cs="Calibri"/>
                <w:b/>
                <w:sz w:val="18"/>
                <w:szCs w:val="18"/>
              </w:rPr>
              <w:t>30 November</w:t>
            </w:r>
          </w:p>
        </w:tc>
      </w:tr>
      <w:tr w:rsidR="00C26B86" w:rsidRPr="00AD33CF" w14:paraId="48482D48" w14:textId="77777777" w:rsidTr="00AB1172">
        <w:trPr>
          <w:trHeight w:val="368"/>
          <w:jc w:val="center"/>
        </w:trPr>
        <w:tc>
          <w:tcPr>
            <w:tcW w:w="2321" w:type="dxa"/>
            <w:tcBorders>
              <w:top w:val="single" w:sz="4" w:space="0" w:color="A8D08D" w:themeColor="accent6" w:themeTint="99"/>
              <w:bottom w:val="single" w:sz="4" w:space="0" w:color="A8D08D" w:themeColor="accent6" w:themeTint="99"/>
            </w:tcBorders>
            <w:vAlign w:val="center"/>
          </w:tcPr>
          <w:p w14:paraId="56E0E1E6" w14:textId="77777777" w:rsidR="00C26B86" w:rsidRPr="00AD33CF" w:rsidRDefault="00C26B86" w:rsidP="003E6914">
            <w:pPr>
              <w:rPr>
                <w:rFonts w:ascii="Calibri" w:hAnsi="Calibri" w:cs="Calibri"/>
                <w:b/>
                <w:sz w:val="18"/>
                <w:szCs w:val="18"/>
              </w:rPr>
            </w:pPr>
            <w:r w:rsidRPr="00AD33CF">
              <w:rPr>
                <w:rFonts w:ascii="Calibri" w:hAnsi="Calibri" w:cs="Calibri"/>
                <w:b/>
                <w:sz w:val="18"/>
                <w:szCs w:val="18"/>
              </w:rPr>
              <w:t>Latest full year available</w:t>
            </w:r>
          </w:p>
        </w:tc>
        <w:tc>
          <w:tcPr>
            <w:tcW w:w="1429" w:type="dxa"/>
            <w:tcBorders>
              <w:top w:val="single" w:sz="4" w:space="0" w:color="A8D08D" w:themeColor="accent6" w:themeTint="99"/>
              <w:bottom w:val="single" w:sz="4" w:space="0" w:color="A8D08D" w:themeColor="accent6" w:themeTint="99"/>
            </w:tcBorders>
            <w:vAlign w:val="center"/>
          </w:tcPr>
          <w:p w14:paraId="0C4725C6" w14:textId="20EB987E" w:rsidR="00C26B86" w:rsidRPr="00AD33CF" w:rsidRDefault="00C26B86" w:rsidP="003E6914">
            <w:pPr>
              <w:jc w:val="center"/>
              <w:rPr>
                <w:rFonts w:ascii="Calibri" w:hAnsi="Calibri" w:cs="Calibri"/>
                <w:sz w:val="18"/>
                <w:szCs w:val="18"/>
              </w:rPr>
            </w:pPr>
            <w:r w:rsidRPr="00AD33CF">
              <w:rPr>
                <w:rFonts w:ascii="Calibri" w:hAnsi="Calibri" w:cs="Calibri"/>
                <w:sz w:val="18"/>
                <w:szCs w:val="18"/>
              </w:rPr>
              <w:t>Year t-2</w:t>
            </w:r>
          </w:p>
        </w:tc>
        <w:tc>
          <w:tcPr>
            <w:tcW w:w="1870" w:type="dxa"/>
            <w:tcBorders>
              <w:top w:val="single" w:sz="4" w:space="0" w:color="A8D08D" w:themeColor="accent6" w:themeTint="99"/>
              <w:bottom w:val="single" w:sz="4" w:space="0" w:color="A8D08D" w:themeColor="accent6" w:themeTint="99"/>
            </w:tcBorders>
            <w:vAlign w:val="center"/>
          </w:tcPr>
          <w:p w14:paraId="35102AD6" w14:textId="0945E3F5" w:rsidR="00C26B86" w:rsidRPr="00AD33CF" w:rsidRDefault="00C26B86" w:rsidP="003E6914">
            <w:pPr>
              <w:jc w:val="center"/>
              <w:rPr>
                <w:rFonts w:ascii="Calibri" w:hAnsi="Calibri" w:cs="Calibri"/>
                <w:sz w:val="18"/>
                <w:szCs w:val="18"/>
              </w:rPr>
            </w:pPr>
            <w:r w:rsidRPr="00AD33CF">
              <w:rPr>
                <w:rFonts w:ascii="Calibri" w:hAnsi="Calibri" w:cs="Calibri"/>
                <w:sz w:val="18"/>
                <w:szCs w:val="18"/>
              </w:rPr>
              <w:t>Year t-1</w:t>
            </w:r>
          </w:p>
        </w:tc>
      </w:tr>
      <w:tr w:rsidR="00C26B86" w:rsidRPr="00AD33CF" w14:paraId="4C416FCF" w14:textId="77777777" w:rsidTr="00AB1172">
        <w:trPr>
          <w:jc w:val="center"/>
        </w:trPr>
        <w:tc>
          <w:tcPr>
            <w:tcW w:w="2321" w:type="dxa"/>
            <w:tcBorders>
              <w:top w:val="single" w:sz="4" w:space="0" w:color="A8D08D" w:themeColor="accent6" w:themeTint="99"/>
              <w:bottom w:val="single" w:sz="8" w:space="0" w:color="auto"/>
            </w:tcBorders>
            <w:vAlign w:val="center"/>
          </w:tcPr>
          <w:p w14:paraId="13FDFF52" w14:textId="77777777" w:rsidR="00C26B86" w:rsidRPr="00AD33CF" w:rsidRDefault="00C26B86" w:rsidP="00D35D21">
            <w:pPr>
              <w:rPr>
                <w:rFonts w:ascii="Calibri" w:hAnsi="Calibri" w:cs="Calibri"/>
                <w:b/>
                <w:sz w:val="18"/>
                <w:szCs w:val="18"/>
              </w:rPr>
            </w:pPr>
            <w:r w:rsidRPr="00AD33CF">
              <w:rPr>
                <w:rFonts w:ascii="Calibri" w:hAnsi="Calibri" w:cs="Calibri"/>
                <w:b/>
                <w:sz w:val="18"/>
                <w:szCs w:val="18"/>
              </w:rPr>
              <w:t>Depth of revisions (max)</w:t>
            </w:r>
          </w:p>
        </w:tc>
        <w:tc>
          <w:tcPr>
            <w:tcW w:w="1429" w:type="dxa"/>
            <w:tcBorders>
              <w:top w:val="single" w:sz="4" w:space="0" w:color="A8D08D" w:themeColor="accent6" w:themeTint="99"/>
              <w:bottom w:val="single" w:sz="8" w:space="0" w:color="auto"/>
            </w:tcBorders>
            <w:vAlign w:val="center"/>
          </w:tcPr>
          <w:p w14:paraId="5BA76D5D" w14:textId="577A4D3B" w:rsidR="00C26B86" w:rsidRPr="00AD33CF" w:rsidRDefault="00C26B86" w:rsidP="00B20D75">
            <w:pPr>
              <w:jc w:val="center"/>
              <w:rPr>
                <w:rFonts w:ascii="Calibri" w:hAnsi="Calibri" w:cs="Calibri"/>
                <w:b/>
                <w:sz w:val="18"/>
                <w:szCs w:val="18"/>
              </w:rPr>
            </w:pPr>
            <w:r w:rsidRPr="00AD33CF">
              <w:rPr>
                <w:rFonts w:ascii="Calibri" w:hAnsi="Calibri" w:cs="Calibri"/>
                <w:b/>
                <w:sz w:val="18"/>
                <w:szCs w:val="18"/>
              </w:rPr>
              <w:t>1 year</w:t>
            </w:r>
          </w:p>
          <w:p w14:paraId="1238B04D" w14:textId="6578D847" w:rsidR="00C26B86" w:rsidRPr="00AD33CF" w:rsidRDefault="00C26B86" w:rsidP="00700BBA">
            <w:pPr>
              <w:jc w:val="center"/>
              <w:rPr>
                <w:rFonts w:ascii="Calibri" w:hAnsi="Calibri" w:cs="Calibri"/>
                <w:sz w:val="18"/>
                <w:szCs w:val="18"/>
              </w:rPr>
            </w:pPr>
            <w:r w:rsidRPr="00AD33CF">
              <w:rPr>
                <w:rFonts w:ascii="Calibri" w:hAnsi="Calibri" w:cs="Calibri"/>
                <w:sz w:val="18"/>
                <w:szCs w:val="18"/>
              </w:rPr>
              <w:t>Year t-3</w:t>
            </w:r>
          </w:p>
        </w:tc>
        <w:tc>
          <w:tcPr>
            <w:tcW w:w="1870" w:type="dxa"/>
            <w:tcBorders>
              <w:top w:val="single" w:sz="4" w:space="0" w:color="A8D08D" w:themeColor="accent6" w:themeTint="99"/>
              <w:bottom w:val="single" w:sz="8" w:space="0" w:color="auto"/>
            </w:tcBorders>
            <w:vAlign w:val="center"/>
          </w:tcPr>
          <w:p w14:paraId="4E9526F5" w14:textId="3815A509" w:rsidR="00C26B86" w:rsidRPr="00AD33CF" w:rsidRDefault="00C26B86" w:rsidP="008D3F3B">
            <w:pPr>
              <w:jc w:val="center"/>
              <w:rPr>
                <w:rFonts w:ascii="Calibri" w:hAnsi="Calibri" w:cs="Calibri"/>
                <w:b/>
                <w:sz w:val="18"/>
                <w:szCs w:val="18"/>
              </w:rPr>
            </w:pPr>
            <w:r w:rsidRPr="00AD33CF">
              <w:rPr>
                <w:rFonts w:ascii="Calibri" w:hAnsi="Calibri" w:cs="Calibri"/>
                <w:b/>
                <w:sz w:val="18"/>
                <w:szCs w:val="18"/>
              </w:rPr>
              <w:t>1 year</w:t>
            </w:r>
          </w:p>
          <w:p w14:paraId="092E3204" w14:textId="2FB4BDE6" w:rsidR="00C26B86" w:rsidRPr="00AD33CF" w:rsidRDefault="00C26B86" w:rsidP="00700BBA">
            <w:pPr>
              <w:jc w:val="center"/>
              <w:rPr>
                <w:rFonts w:ascii="Calibri" w:hAnsi="Calibri" w:cs="Calibri"/>
                <w:sz w:val="18"/>
                <w:szCs w:val="18"/>
              </w:rPr>
            </w:pPr>
            <w:r w:rsidRPr="00AD33CF">
              <w:rPr>
                <w:rFonts w:ascii="Calibri" w:hAnsi="Calibri" w:cs="Calibri"/>
                <w:sz w:val="18"/>
                <w:szCs w:val="18"/>
              </w:rPr>
              <w:t>Year t-2</w:t>
            </w:r>
          </w:p>
        </w:tc>
      </w:tr>
    </w:tbl>
    <w:p w14:paraId="3B83E645" w14:textId="72D47906" w:rsidR="003C2890" w:rsidRPr="00AD33CF" w:rsidRDefault="003C2890" w:rsidP="008733A0">
      <w:pPr>
        <w:spacing w:after="0" w:line="276" w:lineRule="auto"/>
        <w:jc w:val="both"/>
        <w:rPr>
          <w:rFonts w:asciiTheme="majorHAnsi" w:eastAsiaTheme="minorHAnsi" w:hAnsiTheme="majorHAnsi" w:cstheme="majorHAnsi"/>
          <w:sz w:val="20"/>
          <w:szCs w:val="20"/>
        </w:rPr>
      </w:pPr>
    </w:p>
    <w:p w14:paraId="50C2D661" w14:textId="229C506A" w:rsidR="00422833" w:rsidRDefault="00422833" w:rsidP="00291D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 xml:space="preserve">Preliminary data on regional GDP for year t-2 are revised based on the results of supply and use tables and input-output tables. In March of the following year, based on the previously revised GDP at the level of </w:t>
      </w:r>
      <w:r w:rsidRPr="00AD33CF">
        <w:rPr>
          <w:rFonts w:asciiTheme="majorHAnsi" w:eastAsiaTheme="minorHAnsi" w:hAnsiTheme="majorHAnsi" w:cstheme="majorHAnsi"/>
          <w:i/>
          <w:iCs/>
          <w:sz w:val="20"/>
          <w:szCs w:val="20"/>
        </w:rPr>
        <w:t>NSTJ2</w:t>
      </w:r>
      <w:r w:rsidRPr="00AD33CF">
        <w:rPr>
          <w:rFonts w:asciiTheme="majorHAnsi" w:eastAsiaTheme="minorHAnsi" w:hAnsiTheme="majorHAnsi" w:cstheme="majorHAnsi"/>
          <w:sz w:val="20"/>
          <w:szCs w:val="20"/>
        </w:rPr>
        <w:t xml:space="preserve">, the data on regional GVA at the level of </w:t>
      </w:r>
      <w:r w:rsidRPr="00AD33CF">
        <w:rPr>
          <w:rFonts w:asciiTheme="majorHAnsi" w:eastAsiaTheme="minorHAnsi" w:hAnsiTheme="majorHAnsi" w:cstheme="majorHAnsi"/>
          <w:i/>
          <w:iCs/>
          <w:sz w:val="20"/>
          <w:szCs w:val="20"/>
        </w:rPr>
        <w:t>NSTJ3</w:t>
      </w:r>
      <w:r w:rsidRPr="00AD33CF">
        <w:rPr>
          <w:rFonts w:asciiTheme="majorHAnsi" w:eastAsiaTheme="minorHAnsi" w:hAnsiTheme="majorHAnsi" w:cstheme="majorHAnsi"/>
          <w:sz w:val="20"/>
          <w:szCs w:val="20"/>
        </w:rPr>
        <w:t xml:space="preserve"> are revised, by activities (A10) for the year t-3.</w:t>
      </w:r>
    </w:p>
    <w:p w14:paraId="61C5BE42" w14:textId="77777777" w:rsidR="001E676B" w:rsidRPr="00AD33CF" w:rsidRDefault="001E676B" w:rsidP="00291D13">
      <w:pPr>
        <w:spacing w:after="0" w:line="276" w:lineRule="auto"/>
        <w:jc w:val="both"/>
        <w:rPr>
          <w:rFonts w:asciiTheme="majorHAnsi" w:eastAsiaTheme="minorHAnsi" w:hAnsiTheme="majorHAnsi" w:cstheme="majorHAnsi"/>
          <w:sz w:val="20"/>
          <w:szCs w:val="20"/>
        </w:rPr>
      </w:pPr>
    </w:p>
    <w:p w14:paraId="769A8DFF" w14:textId="65DB9E97" w:rsidR="00C020A1" w:rsidRDefault="00E30495" w:rsidP="00291D13">
      <w:pPr>
        <w:spacing w:after="0" w:line="276" w:lineRule="auto"/>
        <w:jc w:val="both"/>
        <w:rPr>
          <w:rFonts w:asciiTheme="majorHAnsi" w:eastAsiaTheme="minorHAnsi" w:hAnsiTheme="majorHAnsi" w:cstheme="majorHAnsi"/>
          <w:sz w:val="20"/>
          <w:szCs w:val="20"/>
        </w:rPr>
      </w:pPr>
      <w:r w:rsidRPr="00AD33CF">
        <w:rPr>
          <w:rFonts w:asciiTheme="majorHAnsi" w:eastAsiaTheme="minorHAnsi" w:hAnsiTheme="majorHAnsi" w:cstheme="majorHAnsi"/>
          <w:sz w:val="20"/>
          <w:szCs w:val="20"/>
        </w:rPr>
        <w:t>SUT-IOT</w:t>
      </w:r>
      <w:r w:rsidR="00286904" w:rsidRPr="00AD33CF">
        <w:rPr>
          <w:rFonts w:asciiTheme="majorHAnsi" w:eastAsiaTheme="minorHAnsi" w:hAnsiTheme="majorHAnsi" w:cstheme="majorHAnsi"/>
          <w:sz w:val="20"/>
          <w:szCs w:val="20"/>
        </w:rPr>
        <w:t xml:space="preserve"> for </w:t>
      </w:r>
      <w:r w:rsidR="009B0832" w:rsidRPr="00AD33CF">
        <w:rPr>
          <w:rFonts w:asciiTheme="majorHAnsi" w:eastAsiaTheme="minorHAnsi" w:hAnsiTheme="majorHAnsi" w:cstheme="majorHAnsi"/>
          <w:sz w:val="20"/>
          <w:szCs w:val="20"/>
        </w:rPr>
        <w:t xml:space="preserve">a </w:t>
      </w:r>
      <w:r w:rsidR="00286904" w:rsidRPr="00AD33CF">
        <w:rPr>
          <w:rFonts w:asciiTheme="majorHAnsi" w:eastAsiaTheme="minorHAnsi" w:hAnsiTheme="majorHAnsi" w:cstheme="majorHAnsi"/>
          <w:sz w:val="20"/>
          <w:szCs w:val="20"/>
        </w:rPr>
        <w:t>specific year are released only once,</w:t>
      </w:r>
      <w:r w:rsidR="00381D53" w:rsidRPr="00AD33CF">
        <w:rPr>
          <w:rFonts w:asciiTheme="majorHAnsi" w:eastAsiaTheme="minorHAnsi" w:hAnsiTheme="majorHAnsi" w:cstheme="majorHAnsi"/>
          <w:sz w:val="20"/>
          <w:szCs w:val="20"/>
        </w:rPr>
        <w:t xml:space="preserve"> </w:t>
      </w:r>
      <w:r w:rsidR="00286904" w:rsidRPr="00AD33CF">
        <w:rPr>
          <w:rFonts w:asciiTheme="majorHAnsi" w:eastAsiaTheme="minorHAnsi" w:hAnsiTheme="majorHAnsi" w:cstheme="majorHAnsi"/>
          <w:sz w:val="20"/>
          <w:szCs w:val="20"/>
        </w:rPr>
        <w:t>and</w:t>
      </w:r>
      <w:r w:rsidR="00381D53" w:rsidRPr="00AD33CF">
        <w:rPr>
          <w:rFonts w:asciiTheme="majorHAnsi" w:eastAsiaTheme="minorHAnsi" w:hAnsiTheme="majorHAnsi" w:cstheme="majorHAnsi"/>
          <w:sz w:val="20"/>
          <w:szCs w:val="20"/>
        </w:rPr>
        <w:t xml:space="preserve"> they</w:t>
      </w:r>
      <w:r w:rsidR="00286904" w:rsidRPr="00AD33CF">
        <w:rPr>
          <w:rFonts w:asciiTheme="majorHAnsi" w:eastAsiaTheme="minorHAnsi" w:hAnsiTheme="majorHAnsi" w:cstheme="majorHAnsi"/>
          <w:sz w:val="20"/>
          <w:szCs w:val="20"/>
        </w:rPr>
        <w:t xml:space="preserve"> are not subject </w:t>
      </w:r>
      <w:r w:rsidR="00C020A1" w:rsidRPr="00AD33CF">
        <w:rPr>
          <w:rFonts w:asciiTheme="majorHAnsi" w:eastAsiaTheme="minorHAnsi" w:hAnsiTheme="majorHAnsi" w:cstheme="majorHAnsi"/>
          <w:sz w:val="20"/>
          <w:szCs w:val="20"/>
        </w:rPr>
        <w:t>to</w:t>
      </w:r>
      <w:r w:rsidR="00286904" w:rsidRPr="00AD33CF">
        <w:rPr>
          <w:rFonts w:asciiTheme="majorHAnsi" w:eastAsiaTheme="minorHAnsi" w:hAnsiTheme="majorHAnsi" w:cstheme="majorHAnsi"/>
          <w:sz w:val="20"/>
          <w:szCs w:val="20"/>
        </w:rPr>
        <w:t xml:space="preserve"> revision</w:t>
      </w:r>
      <w:r w:rsidR="00837CD9" w:rsidRPr="00AD33CF">
        <w:rPr>
          <w:rFonts w:asciiTheme="majorHAnsi" w:eastAsiaTheme="minorHAnsi" w:hAnsiTheme="majorHAnsi" w:cstheme="majorHAnsi"/>
          <w:sz w:val="20"/>
          <w:szCs w:val="20"/>
        </w:rPr>
        <w:t xml:space="preserve"> (except in the case of major revisions</w:t>
      </w:r>
      <w:r w:rsidR="00837CD9" w:rsidRPr="00AD33CF">
        <w:rPr>
          <w:rStyle w:val="FootnoteReference"/>
          <w:rFonts w:asciiTheme="majorHAnsi" w:eastAsiaTheme="minorHAnsi" w:hAnsiTheme="majorHAnsi" w:cstheme="majorHAnsi"/>
          <w:sz w:val="20"/>
          <w:szCs w:val="20"/>
        </w:rPr>
        <w:footnoteReference w:id="3"/>
      </w:r>
      <w:r w:rsidR="00E21A3E" w:rsidRPr="00AD33CF">
        <w:rPr>
          <w:rFonts w:asciiTheme="majorHAnsi" w:eastAsiaTheme="minorHAnsi" w:hAnsiTheme="majorHAnsi" w:cstheme="majorHAnsi"/>
          <w:sz w:val="20"/>
          <w:szCs w:val="20"/>
        </w:rPr>
        <w:t>).</w:t>
      </w:r>
    </w:p>
    <w:p w14:paraId="35600496" w14:textId="77777777" w:rsidR="001E676B" w:rsidRPr="00AD33CF" w:rsidRDefault="001E676B" w:rsidP="00291D13">
      <w:pPr>
        <w:spacing w:after="0" w:line="276" w:lineRule="auto"/>
        <w:jc w:val="both"/>
        <w:rPr>
          <w:rFonts w:asciiTheme="majorHAnsi" w:eastAsiaTheme="minorHAnsi" w:hAnsiTheme="majorHAnsi" w:cstheme="majorHAnsi"/>
          <w:sz w:val="20"/>
          <w:szCs w:val="20"/>
        </w:rPr>
      </w:pPr>
    </w:p>
    <w:p w14:paraId="68092207" w14:textId="6E9D8AD4" w:rsidR="008775ED" w:rsidRPr="00AD33CF" w:rsidRDefault="00C925C3" w:rsidP="00291D13">
      <w:pPr>
        <w:spacing w:after="0" w:line="276" w:lineRule="auto"/>
        <w:rPr>
          <w:rFonts w:asciiTheme="majorHAnsi" w:eastAsiaTheme="minorHAnsi" w:hAnsiTheme="majorHAnsi" w:cstheme="majorHAnsi"/>
          <w:sz w:val="20"/>
          <w:szCs w:val="20"/>
        </w:rPr>
      </w:pPr>
      <w:r w:rsidRPr="00AD33CF">
        <w:rPr>
          <w:rFonts w:asciiTheme="majorHAnsi" w:hAnsiTheme="majorHAnsi" w:cstheme="majorHAnsi"/>
          <w:sz w:val="20"/>
          <w:szCs w:val="20"/>
        </w:rPr>
        <w:t>The r</w:t>
      </w:r>
      <w:r w:rsidR="00822E12" w:rsidRPr="00AD33CF">
        <w:rPr>
          <w:rFonts w:asciiTheme="majorHAnsi" w:hAnsiTheme="majorHAnsi" w:cstheme="majorHAnsi"/>
          <w:sz w:val="20"/>
          <w:szCs w:val="20"/>
        </w:rPr>
        <w:t>evision of g</w:t>
      </w:r>
      <w:r w:rsidR="00C020A1" w:rsidRPr="00AD33CF">
        <w:rPr>
          <w:rFonts w:asciiTheme="majorHAnsi" w:hAnsiTheme="majorHAnsi" w:cstheme="majorHAnsi"/>
          <w:sz w:val="20"/>
          <w:szCs w:val="20"/>
        </w:rPr>
        <w:t>overnment finance statistics</w:t>
      </w:r>
      <w:r w:rsidR="00C020A1" w:rsidRPr="00AD33CF">
        <w:rPr>
          <w:rFonts w:asciiTheme="majorHAnsi" w:eastAsiaTheme="minorHAnsi" w:hAnsiTheme="majorHAnsi" w:cstheme="majorHAnsi"/>
          <w:sz w:val="20"/>
          <w:szCs w:val="20"/>
        </w:rPr>
        <w:t xml:space="preserve"> </w:t>
      </w:r>
      <w:r w:rsidR="00822E12" w:rsidRPr="00AD33CF">
        <w:rPr>
          <w:rFonts w:asciiTheme="majorHAnsi" w:eastAsiaTheme="minorHAnsi" w:hAnsiTheme="majorHAnsi" w:cstheme="majorHAnsi"/>
          <w:sz w:val="20"/>
          <w:szCs w:val="20"/>
        </w:rPr>
        <w:t>currently follows the annual national accounts revision practice.</w:t>
      </w:r>
      <w:r w:rsidR="008E41C5" w:rsidRPr="00AD33CF">
        <w:rPr>
          <w:rFonts w:asciiTheme="majorHAnsi" w:eastAsiaTheme="minorHAnsi" w:hAnsiTheme="majorHAnsi" w:cstheme="majorHAnsi"/>
          <w:sz w:val="20"/>
          <w:szCs w:val="20"/>
        </w:rPr>
        <w:br w:type="page"/>
      </w:r>
    </w:p>
    <w:p w14:paraId="503FA6A2" w14:textId="1F4EE326" w:rsidR="00551F58" w:rsidRPr="00AD33CF" w:rsidRDefault="00551F58" w:rsidP="00551F58">
      <w:pPr>
        <w:pStyle w:val="Heading1"/>
      </w:pPr>
      <w:bookmarkStart w:id="4" w:name="_Toc141874695"/>
      <w:r w:rsidRPr="00AD33CF">
        <w:lastRenderedPageBreak/>
        <w:t xml:space="preserve">Major </w:t>
      </w:r>
      <w:r w:rsidR="0064186D" w:rsidRPr="00AD33CF">
        <w:t xml:space="preserve">regular </w:t>
      </w:r>
      <w:r w:rsidRPr="00AD33CF">
        <w:t xml:space="preserve">revisions (or </w:t>
      </w:r>
      <w:r w:rsidR="00D06974" w:rsidRPr="00AD33CF">
        <w:t>b</w:t>
      </w:r>
      <w:r w:rsidRPr="00AD33CF">
        <w:t>enchmark revisions)</w:t>
      </w:r>
      <w:bookmarkEnd w:id="4"/>
    </w:p>
    <w:p w14:paraId="340E2C35" w14:textId="77777777" w:rsidR="003F0F72" w:rsidRDefault="003F0F72" w:rsidP="00291D13">
      <w:pPr>
        <w:spacing w:after="0" w:line="276" w:lineRule="auto"/>
        <w:jc w:val="both"/>
        <w:rPr>
          <w:rFonts w:asciiTheme="majorHAnsi" w:hAnsiTheme="majorHAnsi" w:cstheme="majorHAnsi"/>
          <w:sz w:val="20"/>
          <w:szCs w:val="20"/>
        </w:rPr>
      </w:pPr>
    </w:p>
    <w:p w14:paraId="1BAA8992" w14:textId="0B9025FE" w:rsidR="00FC61B6" w:rsidRDefault="00FC61B6"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Major</w:t>
      </w:r>
      <w:r w:rsidR="003F4A66" w:rsidRPr="003F4A66">
        <w:rPr>
          <w:rFonts w:asciiTheme="majorHAnsi" w:hAnsiTheme="majorHAnsi" w:cstheme="majorHAnsi"/>
          <w:sz w:val="20"/>
          <w:szCs w:val="20"/>
        </w:rPr>
        <w:t xml:space="preserve"> regular</w:t>
      </w:r>
      <w:r w:rsidRPr="00AD33CF">
        <w:rPr>
          <w:rFonts w:asciiTheme="majorHAnsi" w:hAnsiTheme="majorHAnsi" w:cstheme="majorHAnsi"/>
          <w:sz w:val="20"/>
          <w:szCs w:val="20"/>
        </w:rPr>
        <w:t xml:space="preserve"> revisions affect a substantial part of </w:t>
      </w:r>
      <w:r w:rsidR="00130576" w:rsidRPr="00AD33CF">
        <w:rPr>
          <w:rFonts w:asciiTheme="majorHAnsi" w:hAnsiTheme="majorHAnsi" w:cstheme="majorHAnsi"/>
          <w:sz w:val="20"/>
          <w:szCs w:val="20"/>
        </w:rPr>
        <w:t xml:space="preserve">the </w:t>
      </w:r>
      <w:r w:rsidRPr="00AD33CF">
        <w:rPr>
          <w:rFonts w:asciiTheme="majorHAnsi" w:hAnsiTheme="majorHAnsi" w:cstheme="majorHAnsi"/>
          <w:sz w:val="20"/>
          <w:szCs w:val="20"/>
        </w:rPr>
        <w:t xml:space="preserve">time series and sometimes even the complete time series. Therefore, it is necessary to back-cast the data in order to obtain a comparable series of data, avoiding as far as possible any breaks in </w:t>
      </w:r>
      <w:r w:rsidR="00130576" w:rsidRPr="00AD33CF">
        <w:rPr>
          <w:rFonts w:asciiTheme="majorHAnsi" w:hAnsiTheme="majorHAnsi" w:cstheme="majorHAnsi"/>
          <w:sz w:val="20"/>
          <w:szCs w:val="20"/>
        </w:rPr>
        <w:t xml:space="preserve">the </w:t>
      </w:r>
      <w:r w:rsidRPr="00AD33CF">
        <w:rPr>
          <w:rFonts w:asciiTheme="majorHAnsi" w:hAnsiTheme="majorHAnsi" w:cstheme="majorHAnsi"/>
          <w:sz w:val="20"/>
          <w:szCs w:val="20"/>
        </w:rPr>
        <w:t>data series.</w:t>
      </w:r>
    </w:p>
    <w:p w14:paraId="4FA98F10" w14:textId="77777777" w:rsidR="001E676B" w:rsidRPr="00AD33CF" w:rsidRDefault="001E676B" w:rsidP="00291D13">
      <w:pPr>
        <w:spacing w:after="0" w:line="276" w:lineRule="auto"/>
        <w:jc w:val="both"/>
        <w:rPr>
          <w:rFonts w:asciiTheme="majorHAnsi" w:hAnsiTheme="majorHAnsi" w:cstheme="majorHAnsi"/>
          <w:sz w:val="20"/>
          <w:szCs w:val="20"/>
        </w:rPr>
      </w:pPr>
    </w:p>
    <w:p w14:paraId="178D8686" w14:textId="4A007F7E" w:rsidR="00007230" w:rsidRDefault="00007230"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In recent years a number of significant changes</w:t>
      </w:r>
      <w:r w:rsidR="0024536E" w:rsidRPr="00AD33CF">
        <w:rPr>
          <w:rFonts w:asciiTheme="majorHAnsi" w:hAnsiTheme="majorHAnsi" w:cstheme="majorHAnsi"/>
          <w:sz w:val="20"/>
          <w:szCs w:val="20"/>
        </w:rPr>
        <w:t xml:space="preserve"> have been made</w:t>
      </w:r>
      <w:r w:rsidRPr="00AD33CF">
        <w:rPr>
          <w:rFonts w:asciiTheme="majorHAnsi" w:hAnsiTheme="majorHAnsi" w:cstheme="majorHAnsi"/>
          <w:sz w:val="20"/>
          <w:szCs w:val="20"/>
        </w:rPr>
        <w:t xml:space="preserve"> to the national accounts, which </w:t>
      </w:r>
      <w:r w:rsidR="0024536E" w:rsidRPr="00AD33CF">
        <w:rPr>
          <w:rFonts w:asciiTheme="majorHAnsi" w:hAnsiTheme="majorHAnsi" w:cstheme="majorHAnsi"/>
          <w:sz w:val="20"/>
          <w:szCs w:val="20"/>
        </w:rPr>
        <w:t xml:space="preserve">further </w:t>
      </w:r>
      <w:r w:rsidRPr="00AD33CF">
        <w:rPr>
          <w:rFonts w:asciiTheme="majorHAnsi" w:hAnsiTheme="majorHAnsi" w:cstheme="majorHAnsi"/>
          <w:sz w:val="20"/>
          <w:szCs w:val="20"/>
        </w:rPr>
        <w:t>resulted in major revisions</w:t>
      </w:r>
      <w:r w:rsidR="00473448" w:rsidRPr="00AD33CF">
        <w:rPr>
          <w:rFonts w:asciiTheme="majorHAnsi" w:hAnsiTheme="majorHAnsi" w:cstheme="majorHAnsi"/>
          <w:sz w:val="20"/>
          <w:szCs w:val="20"/>
        </w:rPr>
        <w:t>.</w:t>
      </w:r>
      <w:r w:rsidRPr="00AD33CF">
        <w:rPr>
          <w:rFonts w:asciiTheme="majorHAnsi" w:hAnsiTheme="majorHAnsi" w:cstheme="majorHAnsi"/>
          <w:sz w:val="20"/>
          <w:szCs w:val="20"/>
        </w:rPr>
        <w:t xml:space="preserve"> </w:t>
      </w:r>
    </w:p>
    <w:p w14:paraId="1027DD1E" w14:textId="77777777" w:rsidR="001E676B" w:rsidRPr="00AD33CF" w:rsidRDefault="001E676B" w:rsidP="00291D13">
      <w:pPr>
        <w:spacing w:after="0" w:line="276" w:lineRule="auto"/>
        <w:jc w:val="both"/>
        <w:rPr>
          <w:rFonts w:asciiTheme="majorHAnsi" w:hAnsiTheme="majorHAnsi" w:cstheme="majorHAnsi"/>
          <w:sz w:val="20"/>
          <w:szCs w:val="20"/>
        </w:rPr>
      </w:pPr>
    </w:p>
    <w:p w14:paraId="294417DA" w14:textId="1351B659" w:rsidR="007336DB" w:rsidRDefault="007336DB"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 xml:space="preserve">Major regular (benchmark) revisions should be carried out once every five to ten years. </w:t>
      </w:r>
    </w:p>
    <w:p w14:paraId="40CD2E07" w14:textId="77777777" w:rsidR="001E676B" w:rsidRPr="00AD33CF" w:rsidRDefault="001E676B" w:rsidP="001E676B">
      <w:pPr>
        <w:spacing w:after="0" w:line="276" w:lineRule="auto"/>
        <w:jc w:val="both"/>
        <w:rPr>
          <w:rFonts w:asciiTheme="majorHAnsi" w:hAnsiTheme="majorHAnsi" w:cstheme="majorHAnsi"/>
          <w:sz w:val="20"/>
          <w:szCs w:val="20"/>
        </w:rPr>
      </w:pPr>
    </w:p>
    <w:p w14:paraId="3453D386" w14:textId="77777777" w:rsidR="007336DB" w:rsidRPr="00AD33CF" w:rsidRDefault="007336DB" w:rsidP="007336DB">
      <w:pPr>
        <w:jc w:val="both"/>
        <w:rPr>
          <w:rFonts w:asciiTheme="majorHAnsi" w:hAnsiTheme="majorHAnsi" w:cstheme="majorHAnsi"/>
          <w:sz w:val="20"/>
          <w:szCs w:val="20"/>
        </w:rPr>
      </w:pPr>
      <w:r w:rsidRPr="00AD33CF">
        <w:rPr>
          <w:rFonts w:asciiTheme="majorHAnsi" w:hAnsiTheme="majorHAnsi" w:cstheme="majorHAnsi"/>
          <w:sz w:val="20"/>
          <w:szCs w:val="20"/>
        </w:rPr>
        <w:t>Major regular revisions present planned and significant changes in the published data, which are performed for one or more reasons:</w:t>
      </w:r>
    </w:p>
    <w:p w14:paraId="0EE6808B" w14:textId="77777777" w:rsidR="007336DB" w:rsidRPr="00AD33CF" w:rsidRDefault="007336DB" w:rsidP="007336DB">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 xml:space="preserve">availability of new data that are collected at multi-annual basis (5–10 years), such as censuses (population, agriculture, the economy), input-output tables, etc.; </w:t>
      </w:r>
    </w:p>
    <w:p w14:paraId="3BDE0533" w14:textId="77777777" w:rsidR="007336DB" w:rsidRPr="00AD33CF" w:rsidRDefault="007336DB" w:rsidP="007336DB">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availability of new data sources (new statistical surveys or administrative data sources);</w:t>
      </w:r>
    </w:p>
    <w:p w14:paraId="4F7A51EA" w14:textId="77777777" w:rsidR="007336DB" w:rsidRPr="00AD33CF" w:rsidRDefault="007336DB" w:rsidP="007336DB">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changes of the base year – implementation of a new weighting system;</w:t>
      </w:r>
    </w:p>
    <w:p w14:paraId="22A5566D" w14:textId="77777777" w:rsidR="007336DB" w:rsidRPr="00AD33CF" w:rsidRDefault="007336DB" w:rsidP="007336DB">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changes in concepts, definitions and/or classifications (e.g. adoption of a new classification or changes in international statistical standards);</w:t>
      </w:r>
    </w:p>
    <w:p w14:paraId="3BF153F6" w14:textId="77777777" w:rsidR="007336DB" w:rsidRPr="00AD33CF" w:rsidRDefault="007336DB" w:rsidP="007336DB">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improvements</w:t>
      </w:r>
      <w:r w:rsidRPr="00AD33CF">
        <w:t xml:space="preserve"> </w:t>
      </w:r>
      <w:r w:rsidRPr="00AD33CF">
        <w:rPr>
          <w:rFonts w:asciiTheme="majorHAnsi" w:hAnsiTheme="majorHAnsi" w:cstheme="majorHAnsi"/>
          <w:sz w:val="20"/>
          <w:szCs w:val="20"/>
        </w:rPr>
        <w:t>in methodological procedures;</w:t>
      </w:r>
    </w:p>
    <w:p w14:paraId="342EDF55" w14:textId="58FB329C" w:rsidR="007336DB" w:rsidRDefault="007336DB" w:rsidP="00291D13">
      <w:pPr>
        <w:pStyle w:val="ListParagraph"/>
        <w:numPr>
          <w:ilvl w:val="0"/>
          <w:numId w:val="25"/>
        </w:numPr>
        <w:spacing w:after="0"/>
        <w:jc w:val="both"/>
        <w:rPr>
          <w:rFonts w:asciiTheme="majorHAnsi" w:hAnsiTheme="majorHAnsi" w:cstheme="majorHAnsi"/>
          <w:sz w:val="20"/>
          <w:szCs w:val="20"/>
        </w:rPr>
      </w:pPr>
      <w:proofErr w:type="gramStart"/>
      <w:r w:rsidRPr="00AD33CF">
        <w:rPr>
          <w:rFonts w:asciiTheme="majorHAnsi" w:hAnsiTheme="majorHAnsi" w:cstheme="majorHAnsi"/>
          <w:sz w:val="20"/>
          <w:szCs w:val="20"/>
        </w:rPr>
        <w:t>changes</w:t>
      </w:r>
      <w:proofErr w:type="gramEnd"/>
      <w:r w:rsidRPr="00AD33CF">
        <w:rPr>
          <w:rFonts w:asciiTheme="majorHAnsi" w:hAnsiTheme="majorHAnsi" w:cstheme="majorHAnsi"/>
          <w:sz w:val="20"/>
          <w:szCs w:val="20"/>
        </w:rPr>
        <w:t xml:space="preserve"> in regulations.</w:t>
      </w:r>
    </w:p>
    <w:p w14:paraId="37D17213" w14:textId="77777777" w:rsidR="00A459AE" w:rsidRPr="00AD33CF" w:rsidRDefault="00A459AE" w:rsidP="00291D13">
      <w:pPr>
        <w:pStyle w:val="ListParagraph"/>
        <w:spacing w:after="0" w:line="276" w:lineRule="auto"/>
        <w:jc w:val="both"/>
        <w:rPr>
          <w:rFonts w:asciiTheme="majorHAnsi" w:hAnsiTheme="majorHAnsi" w:cstheme="majorHAnsi"/>
          <w:sz w:val="20"/>
          <w:szCs w:val="20"/>
        </w:rPr>
      </w:pPr>
    </w:p>
    <w:p w14:paraId="053A86FD" w14:textId="77777777" w:rsidR="007336DB" w:rsidRPr="00AD33CF" w:rsidRDefault="007336DB" w:rsidP="00291D13">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It is common practice that major revisions are not the consequence of one cause but of a combination of them. This should be accepted as a good practice in order to avoid too frequent revisions.</w:t>
      </w:r>
    </w:p>
    <w:p w14:paraId="78AE4D1E" w14:textId="3364B611" w:rsidR="00A459AE" w:rsidRDefault="00A459AE" w:rsidP="007336DB">
      <w:pPr>
        <w:jc w:val="both"/>
        <w:rPr>
          <w:rFonts w:asciiTheme="majorHAnsi" w:hAnsiTheme="majorHAnsi" w:cstheme="majorHAnsi"/>
          <w:sz w:val="20"/>
          <w:szCs w:val="20"/>
        </w:rPr>
      </w:pPr>
    </w:p>
    <w:p w14:paraId="39A97C73" w14:textId="591CBFFE" w:rsidR="00025F24" w:rsidRDefault="00025F24" w:rsidP="007336DB">
      <w:pPr>
        <w:jc w:val="both"/>
        <w:rPr>
          <w:rFonts w:asciiTheme="majorHAnsi" w:hAnsiTheme="majorHAnsi" w:cstheme="majorHAnsi"/>
          <w:sz w:val="20"/>
          <w:szCs w:val="20"/>
        </w:rPr>
      </w:pPr>
    </w:p>
    <w:p w14:paraId="3EFE4BB0" w14:textId="746500B7" w:rsidR="00025F24" w:rsidRDefault="00025F24" w:rsidP="007336DB">
      <w:pPr>
        <w:jc w:val="both"/>
        <w:rPr>
          <w:rFonts w:asciiTheme="majorHAnsi" w:hAnsiTheme="majorHAnsi" w:cstheme="majorHAnsi"/>
          <w:sz w:val="20"/>
          <w:szCs w:val="20"/>
        </w:rPr>
      </w:pPr>
    </w:p>
    <w:p w14:paraId="61D96EA1" w14:textId="72B86111" w:rsidR="00025F24" w:rsidRDefault="00025F24" w:rsidP="007336DB">
      <w:pPr>
        <w:jc w:val="both"/>
        <w:rPr>
          <w:rFonts w:asciiTheme="majorHAnsi" w:hAnsiTheme="majorHAnsi" w:cstheme="majorHAnsi"/>
          <w:sz w:val="20"/>
          <w:szCs w:val="20"/>
        </w:rPr>
      </w:pPr>
    </w:p>
    <w:p w14:paraId="2670D119" w14:textId="77777777" w:rsidR="00025F24" w:rsidRDefault="00025F24" w:rsidP="007336DB">
      <w:pPr>
        <w:jc w:val="both"/>
        <w:rPr>
          <w:rFonts w:asciiTheme="majorHAnsi" w:hAnsiTheme="majorHAnsi" w:cstheme="majorHAnsi"/>
          <w:sz w:val="20"/>
          <w:szCs w:val="20"/>
        </w:rPr>
      </w:pPr>
    </w:p>
    <w:p w14:paraId="6349F9C5" w14:textId="5FCBDEC4" w:rsidR="00A459AE" w:rsidRDefault="00A459AE" w:rsidP="007336DB">
      <w:pPr>
        <w:jc w:val="both"/>
        <w:rPr>
          <w:rFonts w:asciiTheme="majorHAnsi" w:hAnsiTheme="majorHAnsi" w:cstheme="majorHAnsi"/>
          <w:sz w:val="20"/>
          <w:szCs w:val="20"/>
        </w:rPr>
      </w:pPr>
    </w:p>
    <w:p w14:paraId="2B2E00D6" w14:textId="2990A953" w:rsidR="00A459AE" w:rsidRDefault="00A459AE" w:rsidP="007336DB">
      <w:pPr>
        <w:jc w:val="both"/>
        <w:rPr>
          <w:rFonts w:asciiTheme="majorHAnsi" w:hAnsiTheme="majorHAnsi" w:cstheme="majorHAnsi"/>
          <w:sz w:val="20"/>
          <w:szCs w:val="20"/>
        </w:rPr>
      </w:pPr>
    </w:p>
    <w:p w14:paraId="2DBC924C" w14:textId="51035BA0" w:rsidR="00A459AE" w:rsidRDefault="00A459AE" w:rsidP="007336DB">
      <w:pPr>
        <w:jc w:val="both"/>
        <w:rPr>
          <w:rFonts w:asciiTheme="majorHAnsi" w:hAnsiTheme="majorHAnsi" w:cstheme="majorHAnsi"/>
          <w:sz w:val="20"/>
          <w:szCs w:val="20"/>
        </w:rPr>
      </w:pPr>
    </w:p>
    <w:p w14:paraId="08DEF879" w14:textId="16CF7374" w:rsidR="00A459AE" w:rsidRDefault="00A459AE" w:rsidP="007336DB">
      <w:pPr>
        <w:jc w:val="both"/>
        <w:rPr>
          <w:rFonts w:asciiTheme="majorHAnsi" w:hAnsiTheme="majorHAnsi" w:cstheme="majorHAnsi"/>
          <w:sz w:val="20"/>
          <w:szCs w:val="20"/>
        </w:rPr>
      </w:pPr>
    </w:p>
    <w:p w14:paraId="2F8CD8A6" w14:textId="0E9345E0" w:rsidR="00A459AE" w:rsidRDefault="00A459AE" w:rsidP="007336DB">
      <w:pPr>
        <w:jc w:val="both"/>
        <w:rPr>
          <w:rFonts w:asciiTheme="majorHAnsi" w:hAnsiTheme="majorHAnsi" w:cstheme="majorHAnsi"/>
          <w:sz w:val="20"/>
          <w:szCs w:val="20"/>
        </w:rPr>
      </w:pPr>
    </w:p>
    <w:p w14:paraId="42EC600B" w14:textId="4E644826" w:rsidR="00A459AE" w:rsidRDefault="00A459AE" w:rsidP="007336DB">
      <w:pPr>
        <w:jc w:val="both"/>
        <w:rPr>
          <w:rFonts w:asciiTheme="majorHAnsi" w:hAnsiTheme="majorHAnsi" w:cstheme="majorHAnsi"/>
          <w:sz w:val="20"/>
          <w:szCs w:val="20"/>
        </w:rPr>
      </w:pPr>
    </w:p>
    <w:p w14:paraId="7830BBF5" w14:textId="085188FC" w:rsidR="00A459AE" w:rsidRDefault="00A459AE" w:rsidP="007336DB">
      <w:pPr>
        <w:jc w:val="both"/>
        <w:rPr>
          <w:rFonts w:asciiTheme="majorHAnsi" w:hAnsiTheme="majorHAnsi" w:cstheme="majorHAnsi"/>
          <w:sz w:val="20"/>
          <w:szCs w:val="20"/>
        </w:rPr>
      </w:pPr>
    </w:p>
    <w:p w14:paraId="3B00EEAF" w14:textId="613425DE" w:rsidR="00A459AE" w:rsidRDefault="00A459AE" w:rsidP="007336DB">
      <w:pPr>
        <w:jc w:val="both"/>
        <w:rPr>
          <w:rFonts w:asciiTheme="majorHAnsi" w:hAnsiTheme="majorHAnsi" w:cstheme="majorHAnsi"/>
          <w:sz w:val="20"/>
          <w:szCs w:val="20"/>
        </w:rPr>
      </w:pPr>
    </w:p>
    <w:p w14:paraId="5D543AE0" w14:textId="43ACF47B" w:rsidR="0012378E" w:rsidRPr="00AD33CF" w:rsidRDefault="0012378E" w:rsidP="0012378E">
      <w:pPr>
        <w:spacing w:line="276" w:lineRule="auto"/>
        <w:jc w:val="center"/>
        <w:rPr>
          <w:rFonts w:asciiTheme="majorHAnsi" w:eastAsiaTheme="minorHAnsi" w:hAnsiTheme="majorHAnsi" w:cstheme="majorHAnsi"/>
          <w:b/>
          <w:bCs/>
          <w:sz w:val="20"/>
          <w:szCs w:val="20"/>
        </w:rPr>
      </w:pPr>
      <w:r w:rsidRPr="00AD33CF">
        <w:rPr>
          <w:rFonts w:asciiTheme="majorHAnsi" w:hAnsiTheme="majorHAnsi" w:cstheme="majorHAnsi"/>
          <w:b/>
          <w:sz w:val="20"/>
          <w:szCs w:val="20"/>
        </w:rPr>
        <w:lastRenderedPageBreak/>
        <w:t xml:space="preserve">National accounts major </w:t>
      </w:r>
      <w:r w:rsidR="0025789C" w:rsidRPr="00AD33CF">
        <w:rPr>
          <w:rFonts w:asciiTheme="majorHAnsi" w:hAnsiTheme="majorHAnsi" w:cstheme="majorHAnsi"/>
          <w:b/>
          <w:sz w:val="20"/>
          <w:szCs w:val="20"/>
        </w:rPr>
        <w:t>(benchmark)</w:t>
      </w:r>
      <w:r w:rsidRPr="00AD33CF">
        <w:rPr>
          <w:rFonts w:asciiTheme="majorHAnsi" w:hAnsiTheme="majorHAnsi" w:cstheme="majorHAnsi"/>
          <w:b/>
          <w:sz w:val="20"/>
          <w:szCs w:val="20"/>
        </w:rPr>
        <w:t xml:space="preserve"> revision</w:t>
      </w:r>
    </w:p>
    <w:tbl>
      <w:tblPr>
        <w:tblStyle w:val="TableGrid1"/>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34"/>
        <w:gridCol w:w="7237"/>
      </w:tblGrid>
      <w:tr w:rsidR="00200577" w:rsidRPr="00AD33CF" w14:paraId="3CA9AE72" w14:textId="77777777" w:rsidTr="00A459AE">
        <w:trPr>
          <w:trHeight w:val="357"/>
          <w:jc w:val="center"/>
        </w:trPr>
        <w:tc>
          <w:tcPr>
            <w:tcW w:w="1734" w:type="dxa"/>
            <w:tcBorders>
              <w:top w:val="single" w:sz="8" w:space="0" w:color="auto"/>
              <w:bottom w:val="single" w:sz="8" w:space="0" w:color="A8D08D" w:themeColor="accent6" w:themeTint="99"/>
            </w:tcBorders>
            <w:shd w:val="clear" w:color="auto" w:fill="E2EFD9" w:themeFill="accent6" w:themeFillTint="33"/>
            <w:vAlign w:val="center"/>
          </w:tcPr>
          <w:p w14:paraId="103A3034" w14:textId="0A93F54A" w:rsidR="00200577" w:rsidRPr="00AD33CF" w:rsidRDefault="00200577" w:rsidP="001919E6">
            <w:pPr>
              <w:jc w:val="center"/>
              <w:rPr>
                <w:rFonts w:ascii="Calibri" w:hAnsi="Calibri" w:cs="Calibri"/>
                <w:b/>
                <w:sz w:val="18"/>
                <w:szCs w:val="18"/>
              </w:rPr>
            </w:pPr>
            <w:r w:rsidRPr="00AD33CF">
              <w:rPr>
                <w:rFonts w:ascii="Calibri" w:hAnsi="Calibri" w:cs="Calibri"/>
                <w:b/>
                <w:sz w:val="18"/>
                <w:szCs w:val="18"/>
              </w:rPr>
              <w:t>Year of publication</w:t>
            </w:r>
          </w:p>
        </w:tc>
        <w:tc>
          <w:tcPr>
            <w:tcW w:w="7237" w:type="dxa"/>
            <w:tcBorders>
              <w:top w:val="single" w:sz="8" w:space="0" w:color="auto"/>
              <w:bottom w:val="single" w:sz="8" w:space="0" w:color="A8D08D" w:themeColor="accent6" w:themeTint="99"/>
            </w:tcBorders>
            <w:shd w:val="clear" w:color="auto" w:fill="E2EFD9" w:themeFill="accent6" w:themeFillTint="33"/>
            <w:vAlign w:val="center"/>
          </w:tcPr>
          <w:p w14:paraId="00043674" w14:textId="5D78D9D3" w:rsidR="00200577" w:rsidRPr="00AD33CF" w:rsidRDefault="00200577" w:rsidP="009D70A4">
            <w:pPr>
              <w:jc w:val="center"/>
              <w:rPr>
                <w:rFonts w:ascii="Calibri" w:hAnsi="Calibri" w:cs="Calibri"/>
                <w:b/>
                <w:sz w:val="18"/>
                <w:szCs w:val="18"/>
              </w:rPr>
            </w:pPr>
            <w:r w:rsidRPr="00AD33CF">
              <w:rPr>
                <w:rFonts w:ascii="Calibri" w:hAnsi="Calibri" w:cs="Calibri"/>
                <w:b/>
                <w:sz w:val="18"/>
                <w:szCs w:val="18"/>
              </w:rPr>
              <w:t>Major outcomes of revision</w:t>
            </w:r>
          </w:p>
        </w:tc>
      </w:tr>
      <w:tr w:rsidR="00200577" w:rsidRPr="00AD33CF" w14:paraId="686CFE00" w14:textId="77777777" w:rsidTr="00A459AE">
        <w:trPr>
          <w:trHeight w:val="1640"/>
          <w:jc w:val="center"/>
        </w:trPr>
        <w:tc>
          <w:tcPr>
            <w:tcW w:w="1734" w:type="dxa"/>
            <w:tcBorders>
              <w:top w:val="single" w:sz="8" w:space="0" w:color="A8D08D" w:themeColor="accent6" w:themeTint="99"/>
              <w:bottom w:val="single" w:sz="8" w:space="0" w:color="A8D08D" w:themeColor="accent6" w:themeTint="99"/>
            </w:tcBorders>
            <w:vAlign w:val="center"/>
          </w:tcPr>
          <w:p w14:paraId="54962EFF" w14:textId="6DB8D06A" w:rsidR="00200577" w:rsidRPr="00AD33CF" w:rsidRDefault="00200577" w:rsidP="00F377BD">
            <w:pPr>
              <w:jc w:val="center"/>
              <w:rPr>
                <w:rFonts w:ascii="Calibri" w:hAnsi="Calibri" w:cs="Calibri"/>
                <w:b/>
                <w:sz w:val="18"/>
                <w:szCs w:val="18"/>
              </w:rPr>
            </w:pPr>
            <w:r w:rsidRPr="00AD33CF">
              <w:rPr>
                <w:rFonts w:ascii="Calibri" w:hAnsi="Calibri" w:cs="Calibri"/>
                <w:b/>
                <w:sz w:val="18"/>
                <w:szCs w:val="18"/>
              </w:rPr>
              <w:t>2012</w:t>
            </w:r>
          </w:p>
        </w:tc>
        <w:tc>
          <w:tcPr>
            <w:tcW w:w="7237" w:type="dxa"/>
            <w:tcBorders>
              <w:top w:val="single" w:sz="8" w:space="0" w:color="A8D08D" w:themeColor="accent6" w:themeTint="99"/>
              <w:bottom w:val="single" w:sz="8" w:space="0" w:color="A8D08D" w:themeColor="accent6" w:themeTint="99"/>
            </w:tcBorders>
            <w:vAlign w:val="center"/>
          </w:tcPr>
          <w:p w14:paraId="1DEE5EF8" w14:textId="1CF1BBCD" w:rsidR="00200577" w:rsidRPr="00AD33CF" w:rsidRDefault="00200577" w:rsidP="0025789C">
            <w:pPr>
              <w:pStyle w:val="ListParagraph"/>
              <w:numPr>
                <w:ilvl w:val="0"/>
                <w:numId w:val="29"/>
              </w:numPr>
              <w:contextualSpacing w:val="0"/>
              <w:rPr>
                <w:rFonts w:ascii="Calibri" w:hAnsi="Calibri" w:cs="Calibri"/>
                <w:sz w:val="18"/>
                <w:szCs w:val="18"/>
              </w:rPr>
            </w:pPr>
            <w:r w:rsidRPr="00AD33CF">
              <w:rPr>
                <w:rFonts w:ascii="Calibri" w:hAnsi="Calibri" w:cs="Calibri"/>
                <w:sz w:val="18"/>
                <w:szCs w:val="18"/>
              </w:rPr>
              <w:t>Introduction of the new national Classification of activities (</w:t>
            </w:r>
            <w:r w:rsidRPr="00AD33CF">
              <w:rPr>
                <w:rFonts w:ascii="Calibri" w:hAnsi="Calibri" w:cs="Calibri"/>
                <w:i/>
                <w:sz w:val="18"/>
                <w:szCs w:val="18"/>
              </w:rPr>
              <w:t>KD2010</w:t>
            </w:r>
            <w:r w:rsidRPr="00AD33CF">
              <w:rPr>
                <w:rFonts w:ascii="Calibri" w:hAnsi="Calibri" w:cs="Calibri"/>
                <w:sz w:val="18"/>
                <w:szCs w:val="18"/>
              </w:rPr>
              <w:t>) in accordance with the international</w:t>
            </w:r>
            <w:r w:rsidRPr="00AD33CF">
              <w:t xml:space="preserve"> </w:t>
            </w:r>
            <w:r w:rsidRPr="00AD33CF">
              <w:rPr>
                <w:rFonts w:ascii="Calibri" w:hAnsi="Calibri" w:cs="Calibri"/>
                <w:sz w:val="18"/>
                <w:szCs w:val="18"/>
              </w:rPr>
              <w:t>NACE Rev. 2</w:t>
            </w:r>
          </w:p>
          <w:p w14:paraId="79A39EA3" w14:textId="3AE2B2E0" w:rsidR="00200577" w:rsidRPr="00AD33CF" w:rsidRDefault="00200577" w:rsidP="0025789C">
            <w:pPr>
              <w:pStyle w:val="ListParagraph"/>
              <w:numPr>
                <w:ilvl w:val="0"/>
                <w:numId w:val="29"/>
              </w:numPr>
              <w:contextualSpacing w:val="0"/>
              <w:rPr>
                <w:rFonts w:ascii="Calibri" w:hAnsi="Calibri" w:cs="Calibri"/>
                <w:sz w:val="18"/>
                <w:szCs w:val="18"/>
              </w:rPr>
            </w:pPr>
            <w:r w:rsidRPr="00AD33CF">
              <w:rPr>
                <w:rFonts w:ascii="Calibri" w:hAnsi="Calibri" w:cs="Calibri"/>
                <w:sz w:val="18"/>
                <w:szCs w:val="18"/>
              </w:rPr>
              <w:t>The transition from fixed ba</w:t>
            </w:r>
            <w:r w:rsidR="008A4367" w:rsidRPr="00AD33CF">
              <w:rPr>
                <w:rFonts w:ascii="Calibri" w:hAnsi="Calibri" w:cs="Calibri"/>
                <w:sz w:val="18"/>
                <w:szCs w:val="18"/>
              </w:rPr>
              <w:t>se year to previous year prices</w:t>
            </w:r>
          </w:p>
          <w:p w14:paraId="2AFAC747" w14:textId="77777777" w:rsidR="00200577" w:rsidRPr="00AD33CF" w:rsidRDefault="00200577" w:rsidP="0025789C">
            <w:pPr>
              <w:pStyle w:val="ListParagraph"/>
              <w:numPr>
                <w:ilvl w:val="0"/>
                <w:numId w:val="29"/>
              </w:numPr>
              <w:contextualSpacing w:val="0"/>
              <w:rPr>
                <w:rFonts w:ascii="Calibri" w:hAnsi="Calibri" w:cs="Calibri"/>
                <w:sz w:val="18"/>
                <w:szCs w:val="18"/>
              </w:rPr>
            </w:pPr>
            <w:r w:rsidRPr="00AD33CF">
              <w:rPr>
                <w:rFonts w:ascii="Calibri" w:hAnsi="Calibri" w:cs="Calibri"/>
                <w:sz w:val="18"/>
                <w:szCs w:val="18"/>
              </w:rPr>
              <w:t>Introduction of the method of chain-linking, 2010 is used as the reference year</w:t>
            </w:r>
          </w:p>
          <w:p w14:paraId="2B8D57C5" w14:textId="1811A924" w:rsidR="00037125" w:rsidRPr="00AD33CF" w:rsidRDefault="00037125" w:rsidP="0025789C">
            <w:pPr>
              <w:pStyle w:val="ListParagraph"/>
              <w:numPr>
                <w:ilvl w:val="0"/>
                <w:numId w:val="29"/>
              </w:numPr>
              <w:contextualSpacing w:val="0"/>
              <w:rPr>
                <w:rFonts w:ascii="Calibri" w:hAnsi="Calibri" w:cs="Calibri"/>
                <w:sz w:val="18"/>
                <w:szCs w:val="18"/>
              </w:rPr>
            </w:pPr>
            <w:r w:rsidRPr="00AD33CF">
              <w:rPr>
                <w:rFonts w:ascii="Calibri" w:hAnsi="Calibri" w:cs="Calibri"/>
                <w:sz w:val="18"/>
                <w:szCs w:val="18"/>
              </w:rPr>
              <w:t>Revised time series 2001-2010</w:t>
            </w:r>
          </w:p>
        </w:tc>
      </w:tr>
      <w:tr w:rsidR="00200577" w:rsidRPr="00AD33CF" w14:paraId="634FCE89" w14:textId="77777777" w:rsidTr="00A459AE">
        <w:trPr>
          <w:trHeight w:val="1704"/>
          <w:jc w:val="center"/>
        </w:trPr>
        <w:tc>
          <w:tcPr>
            <w:tcW w:w="1734" w:type="dxa"/>
            <w:tcBorders>
              <w:top w:val="single" w:sz="8" w:space="0" w:color="A8D08D" w:themeColor="accent6" w:themeTint="99"/>
              <w:bottom w:val="single" w:sz="8" w:space="0" w:color="A8D08D" w:themeColor="accent6" w:themeTint="99"/>
            </w:tcBorders>
            <w:vAlign w:val="center"/>
          </w:tcPr>
          <w:p w14:paraId="61F8416E" w14:textId="3872DFC1" w:rsidR="00200577" w:rsidRPr="00AD33CF" w:rsidRDefault="00200577" w:rsidP="00F377BD">
            <w:pPr>
              <w:jc w:val="center"/>
              <w:rPr>
                <w:rFonts w:ascii="Calibri" w:hAnsi="Calibri" w:cs="Calibri"/>
                <w:b/>
                <w:sz w:val="18"/>
                <w:szCs w:val="18"/>
              </w:rPr>
            </w:pPr>
            <w:r w:rsidRPr="00AD33CF">
              <w:rPr>
                <w:rFonts w:ascii="Calibri" w:hAnsi="Calibri" w:cs="Calibri"/>
                <w:b/>
                <w:sz w:val="18"/>
                <w:szCs w:val="18"/>
              </w:rPr>
              <w:t>2014</w:t>
            </w:r>
          </w:p>
        </w:tc>
        <w:tc>
          <w:tcPr>
            <w:tcW w:w="7237" w:type="dxa"/>
            <w:tcBorders>
              <w:top w:val="single" w:sz="8" w:space="0" w:color="A8D08D" w:themeColor="accent6" w:themeTint="99"/>
              <w:bottom w:val="single" w:sz="8" w:space="0" w:color="A8D08D" w:themeColor="accent6" w:themeTint="99"/>
            </w:tcBorders>
            <w:vAlign w:val="center"/>
          </w:tcPr>
          <w:p w14:paraId="3576E16C" w14:textId="12D5F3F6" w:rsidR="00200577" w:rsidRPr="00AD33CF" w:rsidRDefault="00200577" w:rsidP="001919E6">
            <w:pPr>
              <w:pStyle w:val="ListParagraph"/>
              <w:numPr>
                <w:ilvl w:val="0"/>
                <w:numId w:val="29"/>
              </w:numPr>
              <w:rPr>
                <w:rFonts w:ascii="Calibri" w:hAnsi="Calibri" w:cs="Calibri"/>
                <w:sz w:val="18"/>
                <w:szCs w:val="18"/>
              </w:rPr>
            </w:pPr>
            <w:r w:rsidRPr="00AD33CF">
              <w:rPr>
                <w:rFonts w:ascii="Calibri" w:hAnsi="Calibri" w:cs="Calibri"/>
                <w:sz w:val="18"/>
                <w:szCs w:val="18"/>
              </w:rPr>
              <w:t xml:space="preserve">SORS moved from </w:t>
            </w:r>
            <w:r w:rsidR="001922A3" w:rsidRPr="00AD33CF">
              <w:rPr>
                <w:rFonts w:ascii="Calibri" w:hAnsi="Calibri" w:cs="Calibri"/>
                <w:sz w:val="18"/>
                <w:szCs w:val="18"/>
              </w:rPr>
              <w:t>European System of Accounts 1995 (</w:t>
            </w:r>
            <w:r w:rsidRPr="00AD33CF">
              <w:rPr>
                <w:rFonts w:ascii="Calibri" w:hAnsi="Calibri" w:cs="Calibri"/>
                <w:sz w:val="18"/>
                <w:szCs w:val="18"/>
              </w:rPr>
              <w:t>ESA95</w:t>
            </w:r>
            <w:r w:rsidR="001922A3" w:rsidRPr="00AD33CF">
              <w:rPr>
                <w:rFonts w:ascii="Calibri" w:hAnsi="Calibri" w:cs="Calibri"/>
                <w:sz w:val="18"/>
                <w:szCs w:val="18"/>
              </w:rPr>
              <w:t>)</w:t>
            </w:r>
            <w:r w:rsidRPr="00AD33CF">
              <w:rPr>
                <w:rFonts w:ascii="Calibri" w:hAnsi="Calibri" w:cs="Calibri"/>
                <w:sz w:val="18"/>
                <w:szCs w:val="18"/>
              </w:rPr>
              <w:t xml:space="preserve"> to the </w:t>
            </w:r>
            <w:r w:rsidR="001922A3" w:rsidRPr="00AD33CF">
              <w:rPr>
                <w:rFonts w:ascii="Calibri" w:hAnsi="Calibri" w:cs="Calibri"/>
                <w:sz w:val="18"/>
                <w:szCs w:val="18"/>
              </w:rPr>
              <w:t>ESA2010</w:t>
            </w:r>
          </w:p>
          <w:p w14:paraId="3FB4BD3F" w14:textId="5B0C724C" w:rsidR="00037125" w:rsidRPr="00AD33CF" w:rsidRDefault="00037125" w:rsidP="00037125">
            <w:pPr>
              <w:pStyle w:val="ListParagraph"/>
              <w:numPr>
                <w:ilvl w:val="0"/>
                <w:numId w:val="29"/>
              </w:numPr>
              <w:rPr>
                <w:rFonts w:ascii="Calibri" w:hAnsi="Calibri" w:cs="Calibri"/>
                <w:sz w:val="18"/>
                <w:szCs w:val="18"/>
              </w:rPr>
            </w:pPr>
            <w:r w:rsidRPr="00AD33CF">
              <w:rPr>
                <w:rFonts w:ascii="Calibri" w:hAnsi="Calibri" w:cs="Calibri"/>
                <w:sz w:val="18"/>
                <w:szCs w:val="18"/>
              </w:rPr>
              <w:t xml:space="preserve">The double deflation method was introduced </w:t>
            </w:r>
            <w:r w:rsidR="00F130B4" w:rsidRPr="00AD33CF">
              <w:rPr>
                <w:rFonts w:ascii="Calibri" w:hAnsi="Calibri" w:cs="Calibri"/>
                <w:sz w:val="18"/>
                <w:szCs w:val="18"/>
              </w:rPr>
              <w:t xml:space="preserve">for activities </w:t>
            </w:r>
            <w:r w:rsidRPr="00AD33CF">
              <w:rPr>
                <w:rFonts w:ascii="Calibri" w:hAnsi="Calibri" w:cs="Calibri"/>
                <w:sz w:val="18"/>
                <w:szCs w:val="18"/>
              </w:rPr>
              <w:t xml:space="preserve">where </w:t>
            </w:r>
            <w:r w:rsidR="00F130B4" w:rsidRPr="00AD33CF">
              <w:rPr>
                <w:rFonts w:ascii="Calibri" w:hAnsi="Calibri" w:cs="Calibri"/>
                <w:sz w:val="18"/>
                <w:szCs w:val="18"/>
              </w:rPr>
              <w:t xml:space="preserve">it was </w:t>
            </w:r>
            <w:r w:rsidRPr="00AD33CF">
              <w:rPr>
                <w:rFonts w:ascii="Calibri" w:hAnsi="Calibri" w:cs="Calibri"/>
                <w:sz w:val="18"/>
                <w:szCs w:val="18"/>
              </w:rPr>
              <w:t xml:space="preserve">possible, that is, where deflators were available </w:t>
            </w:r>
          </w:p>
          <w:p w14:paraId="35945BAF" w14:textId="3FE6F239" w:rsidR="00265DBE" w:rsidRPr="00AD33CF" w:rsidRDefault="00265DBE" w:rsidP="00265DBE">
            <w:pPr>
              <w:pStyle w:val="ListParagraph"/>
              <w:numPr>
                <w:ilvl w:val="0"/>
                <w:numId w:val="29"/>
              </w:numPr>
              <w:rPr>
                <w:rFonts w:ascii="Calibri" w:hAnsi="Calibri" w:cs="Calibri"/>
                <w:sz w:val="18"/>
                <w:szCs w:val="18"/>
              </w:rPr>
            </w:pPr>
            <w:r w:rsidRPr="00AD33CF">
              <w:rPr>
                <w:rFonts w:ascii="Calibri" w:hAnsi="Calibri" w:cs="Calibri"/>
                <w:sz w:val="18"/>
                <w:szCs w:val="18"/>
              </w:rPr>
              <w:t xml:space="preserve">Completing </w:t>
            </w:r>
            <w:r w:rsidR="00F130B4" w:rsidRPr="00AD33CF">
              <w:rPr>
                <w:rFonts w:ascii="Calibri" w:hAnsi="Calibri" w:cs="Calibri"/>
                <w:sz w:val="18"/>
                <w:szCs w:val="18"/>
              </w:rPr>
              <w:t xml:space="preserve">data </w:t>
            </w:r>
            <w:r w:rsidRPr="00AD33CF">
              <w:rPr>
                <w:rFonts w:ascii="Calibri" w:hAnsi="Calibri" w:cs="Calibri"/>
                <w:sz w:val="18"/>
                <w:szCs w:val="18"/>
              </w:rPr>
              <w:t xml:space="preserve">series, </w:t>
            </w:r>
            <w:r w:rsidR="00F130B4" w:rsidRPr="00AD33CF">
              <w:rPr>
                <w:rFonts w:ascii="Calibri" w:hAnsi="Calibri" w:cs="Calibri"/>
                <w:sz w:val="18"/>
                <w:szCs w:val="18"/>
              </w:rPr>
              <w:t>introducing</w:t>
            </w:r>
            <w:r w:rsidRPr="00AD33CF">
              <w:rPr>
                <w:rFonts w:ascii="Calibri" w:hAnsi="Calibri" w:cs="Calibri"/>
                <w:sz w:val="18"/>
                <w:szCs w:val="18"/>
              </w:rPr>
              <w:t xml:space="preserve"> the GDP calculation for 1995 and 1996 </w:t>
            </w:r>
          </w:p>
          <w:p w14:paraId="0783B8A9" w14:textId="3DEFDA3E" w:rsidR="00200577" w:rsidRPr="00AD33CF" w:rsidRDefault="00037125" w:rsidP="00265DBE">
            <w:pPr>
              <w:pStyle w:val="ListParagraph"/>
              <w:numPr>
                <w:ilvl w:val="0"/>
                <w:numId w:val="29"/>
              </w:numPr>
              <w:rPr>
                <w:rFonts w:ascii="Calibri" w:hAnsi="Calibri" w:cs="Calibri"/>
                <w:sz w:val="18"/>
                <w:szCs w:val="18"/>
              </w:rPr>
            </w:pPr>
            <w:r w:rsidRPr="00AD33CF">
              <w:rPr>
                <w:rFonts w:ascii="Calibri" w:hAnsi="Calibri" w:cs="Calibri"/>
                <w:sz w:val="18"/>
                <w:szCs w:val="18"/>
              </w:rPr>
              <w:t>Revised time series 1997-2012</w:t>
            </w:r>
          </w:p>
        </w:tc>
      </w:tr>
      <w:tr w:rsidR="00633DCF" w:rsidRPr="00AD33CF" w14:paraId="31199CB7" w14:textId="77777777" w:rsidTr="00A459AE">
        <w:trPr>
          <w:trHeight w:val="2082"/>
          <w:jc w:val="center"/>
        </w:trPr>
        <w:tc>
          <w:tcPr>
            <w:tcW w:w="1734" w:type="dxa"/>
            <w:tcBorders>
              <w:top w:val="single" w:sz="8" w:space="0" w:color="A8D08D" w:themeColor="accent6" w:themeTint="99"/>
              <w:bottom w:val="single" w:sz="8" w:space="0" w:color="auto"/>
            </w:tcBorders>
            <w:vAlign w:val="center"/>
          </w:tcPr>
          <w:p w14:paraId="74B1A3DD" w14:textId="3CA17381" w:rsidR="00633DCF" w:rsidRPr="00AD33CF" w:rsidRDefault="00633DCF" w:rsidP="00F377BD">
            <w:pPr>
              <w:jc w:val="center"/>
              <w:rPr>
                <w:rFonts w:ascii="Calibri" w:hAnsi="Calibri" w:cs="Calibri"/>
                <w:b/>
                <w:sz w:val="18"/>
                <w:szCs w:val="18"/>
              </w:rPr>
            </w:pPr>
            <w:r w:rsidRPr="00AD33CF">
              <w:rPr>
                <w:rFonts w:ascii="Calibri" w:hAnsi="Calibri" w:cs="Calibri"/>
                <w:b/>
                <w:sz w:val="18"/>
                <w:szCs w:val="18"/>
              </w:rPr>
              <w:t>2018-2019</w:t>
            </w:r>
          </w:p>
        </w:tc>
        <w:tc>
          <w:tcPr>
            <w:tcW w:w="7237" w:type="dxa"/>
            <w:tcBorders>
              <w:top w:val="single" w:sz="8" w:space="0" w:color="A8D08D" w:themeColor="accent6" w:themeTint="99"/>
              <w:bottom w:val="single" w:sz="8" w:space="0" w:color="auto"/>
            </w:tcBorders>
            <w:vAlign w:val="center"/>
          </w:tcPr>
          <w:p w14:paraId="6EADC45E" w14:textId="5B9C685A" w:rsidR="00633DCF" w:rsidRPr="00AD33CF" w:rsidRDefault="00633DCF" w:rsidP="00633DCF">
            <w:pPr>
              <w:pStyle w:val="ListParagraph"/>
              <w:numPr>
                <w:ilvl w:val="0"/>
                <w:numId w:val="29"/>
              </w:numPr>
              <w:rPr>
                <w:rFonts w:ascii="Calibri" w:hAnsi="Calibri" w:cs="Calibri"/>
                <w:sz w:val="18"/>
                <w:szCs w:val="18"/>
              </w:rPr>
            </w:pPr>
            <w:r w:rsidRPr="00AD33CF">
              <w:rPr>
                <w:rFonts w:ascii="Calibri" w:hAnsi="Calibri" w:cs="Calibri"/>
                <w:sz w:val="18"/>
                <w:szCs w:val="18"/>
              </w:rPr>
              <w:t>Enhance compliance of National Accounts with ESA 2010</w:t>
            </w:r>
          </w:p>
          <w:p w14:paraId="08410123" w14:textId="67A6562B" w:rsidR="0025789C" w:rsidRPr="00AD33CF" w:rsidRDefault="0025789C" w:rsidP="0025789C">
            <w:pPr>
              <w:pStyle w:val="ListParagraph"/>
              <w:numPr>
                <w:ilvl w:val="0"/>
                <w:numId w:val="29"/>
              </w:numPr>
              <w:rPr>
                <w:rFonts w:ascii="Calibri" w:hAnsi="Calibri" w:cs="Calibri"/>
                <w:sz w:val="18"/>
                <w:szCs w:val="18"/>
              </w:rPr>
            </w:pPr>
            <w:r w:rsidRPr="00AD33CF">
              <w:rPr>
                <w:rFonts w:ascii="Calibri" w:hAnsi="Calibri" w:cs="Calibri"/>
                <w:sz w:val="18"/>
                <w:szCs w:val="18"/>
              </w:rPr>
              <w:t xml:space="preserve">Applying the sectoral classification fully in line with </w:t>
            </w:r>
            <w:r w:rsidR="00F40A57" w:rsidRPr="00AD33CF">
              <w:rPr>
                <w:rFonts w:ascii="Calibri" w:hAnsi="Calibri" w:cs="Calibri"/>
                <w:sz w:val="18"/>
                <w:szCs w:val="18"/>
              </w:rPr>
              <w:t xml:space="preserve">the recommendations of </w:t>
            </w:r>
            <w:r w:rsidRPr="00AD33CF">
              <w:rPr>
                <w:rFonts w:ascii="Calibri" w:hAnsi="Calibri" w:cs="Calibri"/>
                <w:sz w:val="18"/>
                <w:szCs w:val="18"/>
              </w:rPr>
              <w:t xml:space="preserve">ESA 2010 </w:t>
            </w:r>
          </w:p>
          <w:p w14:paraId="7F7FC6BE" w14:textId="2E396504" w:rsidR="0025789C" w:rsidRPr="00AD33CF" w:rsidRDefault="0025789C" w:rsidP="0025789C">
            <w:pPr>
              <w:pStyle w:val="ListParagraph"/>
              <w:numPr>
                <w:ilvl w:val="0"/>
                <w:numId w:val="29"/>
              </w:numPr>
              <w:rPr>
                <w:rFonts w:ascii="Calibri" w:hAnsi="Calibri" w:cs="Calibri"/>
                <w:sz w:val="18"/>
                <w:szCs w:val="18"/>
              </w:rPr>
            </w:pPr>
            <w:r w:rsidRPr="00AD33CF">
              <w:rPr>
                <w:rFonts w:ascii="Calibri" w:hAnsi="Calibri" w:cs="Calibri"/>
                <w:sz w:val="18"/>
                <w:szCs w:val="18"/>
              </w:rPr>
              <w:t>Implemented Economic Accounts for Agriculture (EAA) in National Accounts</w:t>
            </w:r>
          </w:p>
          <w:p w14:paraId="25EF6689" w14:textId="77777777" w:rsidR="0025789C" w:rsidRPr="00AD33CF" w:rsidRDefault="0025789C" w:rsidP="0025789C">
            <w:pPr>
              <w:pStyle w:val="ListParagraph"/>
              <w:numPr>
                <w:ilvl w:val="0"/>
                <w:numId w:val="29"/>
              </w:numPr>
              <w:rPr>
                <w:rFonts w:ascii="Calibri" w:hAnsi="Calibri" w:cs="Calibri"/>
                <w:sz w:val="18"/>
                <w:szCs w:val="18"/>
              </w:rPr>
            </w:pPr>
            <w:r w:rsidRPr="00AD33CF">
              <w:rPr>
                <w:rFonts w:ascii="Calibri" w:hAnsi="Calibri" w:cs="Calibri"/>
                <w:sz w:val="18"/>
                <w:szCs w:val="18"/>
              </w:rPr>
              <w:t xml:space="preserve">Introduced annual estimates of GDP in the SUT framework </w:t>
            </w:r>
          </w:p>
          <w:p w14:paraId="5DE83A83" w14:textId="4EFCD296" w:rsidR="00633DCF" w:rsidRPr="00AD33CF" w:rsidRDefault="0025789C" w:rsidP="0025789C">
            <w:pPr>
              <w:pStyle w:val="ListParagraph"/>
              <w:numPr>
                <w:ilvl w:val="0"/>
                <w:numId w:val="29"/>
              </w:numPr>
              <w:rPr>
                <w:rFonts w:ascii="Calibri" w:hAnsi="Calibri" w:cs="Calibri"/>
                <w:sz w:val="18"/>
                <w:szCs w:val="18"/>
              </w:rPr>
            </w:pPr>
            <w:r w:rsidRPr="00AD33CF">
              <w:rPr>
                <w:rFonts w:ascii="Calibri" w:hAnsi="Calibri" w:cs="Calibri"/>
                <w:sz w:val="18"/>
                <w:szCs w:val="18"/>
              </w:rPr>
              <w:t>Revised time series 1995-2017</w:t>
            </w:r>
          </w:p>
        </w:tc>
      </w:tr>
    </w:tbl>
    <w:p w14:paraId="40B41E87" w14:textId="77777777" w:rsidR="0012378E" w:rsidRPr="00AD33CF" w:rsidRDefault="0012378E" w:rsidP="00291D13">
      <w:pPr>
        <w:spacing w:after="0" w:line="276" w:lineRule="auto"/>
        <w:jc w:val="both"/>
        <w:rPr>
          <w:rFonts w:asciiTheme="majorHAnsi" w:hAnsiTheme="majorHAnsi" w:cstheme="majorHAnsi"/>
          <w:sz w:val="20"/>
          <w:szCs w:val="20"/>
        </w:rPr>
      </w:pPr>
    </w:p>
    <w:p w14:paraId="61EAF31F" w14:textId="272AED4C" w:rsidR="00AF5F55" w:rsidRDefault="00AF5F55"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The announcement of major</w:t>
      </w:r>
      <w:r w:rsidR="003F4A66" w:rsidRPr="00AD33CF">
        <w:rPr>
          <w:rFonts w:asciiTheme="majorHAnsi" w:hAnsiTheme="majorHAnsi" w:cstheme="majorHAnsi"/>
          <w:sz w:val="20"/>
          <w:szCs w:val="20"/>
        </w:rPr>
        <w:t xml:space="preserve"> regular</w:t>
      </w:r>
      <w:r w:rsidRPr="00AD33CF">
        <w:rPr>
          <w:rFonts w:asciiTheme="majorHAnsi" w:hAnsiTheme="majorHAnsi" w:cstheme="majorHAnsi"/>
          <w:sz w:val="20"/>
          <w:szCs w:val="20"/>
        </w:rPr>
        <w:t xml:space="preserve"> revision </w:t>
      </w:r>
      <w:r w:rsidR="00130576" w:rsidRPr="00AD33CF">
        <w:rPr>
          <w:rFonts w:asciiTheme="majorHAnsi" w:hAnsiTheme="majorHAnsi" w:cstheme="majorHAnsi"/>
          <w:sz w:val="20"/>
          <w:szCs w:val="20"/>
        </w:rPr>
        <w:t>is</w:t>
      </w:r>
      <w:r w:rsidR="00FF34B5" w:rsidRPr="00AD33CF">
        <w:rPr>
          <w:rFonts w:asciiTheme="majorHAnsi" w:hAnsiTheme="majorHAnsi" w:cstheme="majorHAnsi"/>
          <w:sz w:val="20"/>
          <w:szCs w:val="20"/>
        </w:rPr>
        <w:t xml:space="preserve"> </w:t>
      </w:r>
      <w:r w:rsidRPr="00AD33CF">
        <w:rPr>
          <w:rFonts w:asciiTheme="majorHAnsi" w:hAnsiTheme="majorHAnsi" w:cstheme="majorHAnsi"/>
          <w:sz w:val="20"/>
          <w:szCs w:val="20"/>
        </w:rPr>
        <w:t xml:space="preserve">published well before the date of releasing the revised data, and the users are informed about its implementation within defined deadlines and in the appropriate form. Users </w:t>
      </w:r>
      <w:r w:rsidR="00FF34B5" w:rsidRPr="00AD33CF">
        <w:rPr>
          <w:rFonts w:asciiTheme="majorHAnsi" w:hAnsiTheme="majorHAnsi" w:cstheme="majorHAnsi"/>
          <w:sz w:val="20"/>
          <w:szCs w:val="20"/>
        </w:rPr>
        <w:t>should</w:t>
      </w:r>
      <w:r w:rsidRPr="00AD33CF">
        <w:rPr>
          <w:rFonts w:asciiTheme="majorHAnsi" w:hAnsiTheme="majorHAnsi" w:cstheme="majorHAnsi"/>
          <w:sz w:val="20"/>
          <w:szCs w:val="20"/>
        </w:rPr>
        <w:t xml:space="preserve"> be informed about the reasons for the revision, the date of publication of the revised data</w:t>
      </w:r>
      <w:r w:rsidR="00FE55C7" w:rsidRPr="00AD33CF">
        <w:rPr>
          <w:rFonts w:asciiTheme="majorHAnsi" w:hAnsiTheme="majorHAnsi" w:cstheme="majorHAnsi"/>
          <w:sz w:val="20"/>
          <w:szCs w:val="20"/>
        </w:rPr>
        <w:t xml:space="preserve">, </w:t>
      </w:r>
      <w:r w:rsidR="00130576" w:rsidRPr="00AD33CF">
        <w:rPr>
          <w:rFonts w:asciiTheme="majorHAnsi" w:hAnsiTheme="majorHAnsi" w:cstheme="majorHAnsi"/>
          <w:sz w:val="20"/>
          <w:szCs w:val="20"/>
        </w:rPr>
        <w:t xml:space="preserve">and </w:t>
      </w:r>
      <w:r w:rsidR="00FE55C7" w:rsidRPr="00AD33CF">
        <w:rPr>
          <w:rFonts w:asciiTheme="majorHAnsi" w:hAnsiTheme="majorHAnsi" w:cstheme="majorHAnsi"/>
          <w:sz w:val="20"/>
          <w:szCs w:val="20"/>
        </w:rPr>
        <w:t xml:space="preserve">the length and types </w:t>
      </w:r>
      <w:r w:rsidRPr="00AD33CF">
        <w:rPr>
          <w:rFonts w:asciiTheme="majorHAnsi" w:hAnsiTheme="majorHAnsi" w:cstheme="majorHAnsi"/>
          <w:sz w:val="20"/>
          <w:szCs w:val="20"/>
        </w:rPr>
        <w:t>of time series</w:t>
      </w:r>
      <w:r w:rsidR="00FE55C7" w:rsidRPr="00AD33CF">
        <w:rPr>
          <w:rFonts w:asciiTheme="majorHAnsi" w:hAnsiTheme="majorHAnsi" w:cstheme="majorHAnsi"/>
          <w:sz w:val="20"/>
          <w:szCs w:val="20"/>
        </w:rPr>
        <w:t xml:space="preserve"> of data</w:t>
      </w:r>
      <w:r w:rsidRPr="00AD33CF">
        <w:rPr>
          <w:rFonts w:asciiTheme="majorHAnsi" w:hAnsiTheme="majorHAnsi" w:cstheme="majorHAnsi"/>
          <w:sz w:val="20"/>
          <w:szCs w:val="20"/>
        </w:rPr>
        <w:t xml:space="preserve"> that are subject </w:t>
      </w:r>
      <w:r w:rsidR="00130576" w:rsidRPr="00AD33CF">
        <w:rPr>
          <w:rFonts w:asciiTheme="majorHAnsi" w:hAnsiTheme="majorHAnsi" w:cstheme="majorHAnsi"/>
          <w:sz w:val="20"/>
          <w:szCs w:val="20"/>
        </w:rPr>
        <w:t>to</w:t>
      </w:r>
      <w:r w:rsidRPr="00AD33CF">
        <w:rPr>
          <w:rFonts w:asciiTheme="majorHAnsi" w:hAnsiTheme="majorHAnsi" w:cstheme="majorHAnsi"/>
          <w:sz w:val="20"/>
          <w:szCs w:val="20"/>
        </w:rPr>
        <w:t xml:space="preserve"> the revision. </w:t>
      </w:r>
    </w:p>
    <w:p w14:paraId="34DE3B2D" w14:textId="77777777" w:rsidR="001E676B" w:rsidRPr="00AD33CF" w:rsidRDefault="001E676B" w:rsidP="00291D13">
      <w:pPr>
        <w:spacing w:after="0" w:line="276" w:lineRule="auto"/>
        <w:jc w:val="both"/>
        <w:rPr>
          <w:rFonts w:asciiTheme="majorHAnsi" w:hAnsiTheme="majorHAnsi" w:cstheme="majorHAnsi"/>
          <w:sz w:val="20"/>
          <w:szCs w:val="20"/>
        </w:rPr>
      </w:pPr>
    </w:p>
    <w:p w14:paraId="074CF34F" w14:textId="43DC1D61" w:rsidR="00AF5F55" w:rsidRDefault="00AF5F55"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After major</w:t>
      </w:r>
      <w:r w:rsidR="003F4A66" w:rsidRPr="00AD33CF">
        <w:rPr>
          <w:rFonts w:asciiTheme="majorHAnsi" w:hAnsiTheme="majorHAnsi" w:cstheme="majorHAnsi"/>
          <w:sz w:val="20"/>
          <w:szCs w:val="20"/>
        </w:rPr>
        <w:t xml:space="preserve"> regular</w:t>
      </w:r>
      <w:r w:rsidRPr="00AD33CF">
        <w:rPr>
          <w:rFonts w:asciiTheme="majorHAnsi" w:hAnsiTheme="majorHAnsi" w:cstheme="majorHAnsi"/>
          <w:sz w:val="20"/>
          <w:szCs w:val="20"/>
        </w:rPr>
        <w:t xml:space="preserve"> revisions, </w:t>
      </w:r>
      <w:r w:rsidR="0089749C" w:rsidRPr="00AD33CF">
        <w:rPr>
          <w:rFonts w:asciiTheme="majorHAnsi" w:hAnsiTheme="majorHAnsi" w:cstheme="majorHAnsi"/>
          <w:sz w:val="20"/>
          <w:szCs w:val="20"/>
        </w:rPr>
        <w:t xml:space="preserve">the </w:t>
      </w:r>
      <w:r w:rsidRPr="00AD33CF">
        <w:rPr>
          <w:rFonts w:asciiTheme="majorHAnsi" w:hAnsiTheme="majorHAnsi" w:cstheme="majorHAnsi"/>
          <w:sz w:val="20"/>
          <w:szCs w:val="20"/>
        </w:rPr>
        <w:t xml:space="preserve">published revised data </w:t>
      </w:r>
      <w:r w:rsidR="008B5FC4" w:rsidRPr="00AD33CF">
        <w:rPr>
          <w:rFonts w:asciiTheme="majorHAnsi" w:hAnsiTheme="majorHAnsi" w:cstheme="majorHAnsi"/>
          <w:sz w:val="20"/>
          <w:szCs w:val="20"/>
        </w:rPr>
        <w:t>should</w:t>
      </w:r>
      <w:r w:rsidRPr="00AD33CF">
        <w:rPr>
          <w:rFonts w:asciiTheme="majorHAnsi" w:hAnsiTheme="majorHAnsi" w:cstheme="majorHAnsi"/>
          <w:sz w:val="20"/>
          <w:szCs w:val="20"/>
        </w:rPr>
        <w:t xml:space="preserve"> be accompanied by</w:t>
      </w:r>
      <w:r w:rsidR="0089749C" w:rsidRPr="00AD33CF">
        <w:rPr>
          <w:rFonts w:asciiTheme="majorHAnsi" w:hAnsiTheme="majorHAnsi" w:cstheme="majorHAnsi"/>
          <w:sz w:val="20"/>
          <w:szCs w:val="20"/>
        </w:rPr>
        <w:t xml:space="preserve"> the</w:t>
      </w:r>
      <w:r w:rsidRPr="00AD33CF">
        <w:rPr>
          <w:rFonts w:asciiTheme="majorHAnsi" w:hAnsiTheme="majorHAnsi" w:cstheme="majorHAnsi"/>
          <w:sz w:val="20"/>
          <w:szCs w:val="20"/>
        </w:rPr>
        <w:t xml:space="preserve"> related documentation, which </w:t>
      </w:r>
      <w:r w:rsidR="004757AF" w:rsidRPr="00AD33CF">
        <w:rPr>
          <w:rFonts w:asciiTheme="majorHAnsi" w:hAnsiTheme="majorHAnsi" w:cstheme="majorHAnsi"/>
          <w:sz w:val="20"/>
          <w:szCs w:val="20"/>
        </w:rPr>
        <w:t xml:space="preserve">enables the evaluation of </w:t>
      </w:r>
      <w:r w:rsidRPr="00AD33CF">
        <w:rPr>
          <w:rFonts w:asciiTheme="majorHAnsi" w:hAnsiTheme="majorHAnsi" w:cstheme="majorHAnsi"/>
          <w:sz w:val="20"/>
          <w:szCs w:val="20"/>
        </w:rPr>
        <w:t xml:space="preserve">the new time series. The documentation </w:t>
      </w:r>
      <w:r w:rsidR="008B5FC4" w:rsidRPr="00AD33CF">
        <w:rPr>
          <w:rFonts w:asciiTheme="majorHAnsi" w:hAnsiTheme="majorHAnsi" w:cstheme="majorHAnsi"/>
          <w:sz w:val="20"/>
          <w:szCs w:val="20"/>
        </w:rPr>
        <w:t>should</w:t>
      </w:r>
      <w:r w:rsidRPr="00AD33CF">
        <w:rPr>
          <w:rFonts w:asciiTheme="majorHAnsi" w:hAnsiTheme="majorHAnsi" w:cstheme="majorHAnsi"/>
          <w:sz w:val="20"/>
          <w:szCs w:val="20"/>
        </w:rPr>
        <w:t xml:space="preserve"> include the reasons for revisions, the evaluation of </w:t>
      </w:r>
      <w:r w:rsidR="00130576" w:rsidRPr="00AD33CF">
        <w:rPr>
          <w:rFonts w:asciiTheme="majorHAnsi" w:hAnsiTheme="majorHAnsi" w:cstheme="majorHAnsi"/>
          <w:sz w:val="20"/>
          <w:szCs w:val="20"/>
        </w:rPr>
        <w:t xml:space="preserve">the </w:t>
      </w:r>
      <w:r w:rsidRPr="00AD33CF">
        <w:rPr>
          <w:rFonts w:asciiTheme="majorHAnsi" w:hAnsiTheme="majorHAnsi" w:cstheme="majorHAnsi"/>
          <w:sz w:val="20"/>
          <w:szCs w:val="20"/>
        </w:rPr>
        <w:t xml:space="preserve">revision impact on aggregates, </w:t>
      </w:r>
      <w:r w:rsidR="00130576" w:rsidRPr="00AD33CF">
        <w:rPr>
          <w:rFonts w:asciiTheme="majorHAnsi" w:hAnsiTheme="majorHAnsi" w:cstheme="majorHAnsi"/>
          <w:sz w:val="20"/>
          <w:szCs w:val="20"/>
        </w:rPr>
        <w:t xml:space="preserve">the </w:t>
      </w:r>
      <w:r w:rsidRPr="00AD33CF">
        <w:rPr>
          <w:rFonts w:asciiTheme="majorHAnsi" w:hAnsiTheme="majorHAnsi" w:cstheme="majorHAnsi"/>
          <w:sz w:val="20"/>
          <w:szCs w:val="20"/>
        </w:rPr>
        <w:t>presentation of a comparative overview of old and new data</w:t>
      </w:r>
      <w:r w:rsidRPr="00AD33CF" w:rsidDel="000240AE">
        <w:rPr>
          <w:rFonts w:asciiTheme="majorHAnsi" w:hAnsiTheme="majorHAnsi" w:cstheme="majorHAnsi"/>
          <w:sz w:val="20"/>
          <w:szCs w:val="20"/>
        </w:rPr>
        <w:t xml:space="preserve"> </w:t>
      </w:r>
      <w:r w:rsidRPr="00AD33CF">
        <w:rPr>
          <w:rFonts w:asciiTheme="majorHAnsi" w:hAnsiTheme="majorHAnsi" w:cstheme="majorHAnsi"/>
          <w:sz w:val="20"/>
          <w:szCs w:val="20"/>
        </w:rPr>
        <w:t xml:space="preserve">and </w:t>
      </w:r>
      <w:r w:rsidR="0089749C" w:rsidRPr="00AD33CF">
        <w:rPr>
          <w:rFonts w:asciiTheme="majorHAnsi" w:hAnsiTheme="majorHAnsi" w:cstheme="majorHAnsi"/>
          <w:sz w:val="20"/>
          <w:szCs w:val="20"/>
        </w:rPr>
        <w:t xml:space="preserve">the </w:t>
      </w:r>
      <w:r w:rsidRPr="00AD33CF">
        <w:rPr>
          <w:rFonts w:asciiTheme="majorHAnsi" w:hAnsiTheme="majorHAnsi" w:cstheme="majorHAnsi"/>
          <w:sz w:val="20"/>
          <w:szCs w:val="20"/>
        </w:rPr>
        <w:t xml:space="preserve">length of </w:t>
      </w:r>
      <w:r w:rsidR="00130576" w:rsidRPr="00AD33CF">
        <w:rPr>
          <w:rFonts w:asciiTheme="majorHAnsi" w:hAnsiTheme="majorHAnsi" w:cstheme="majorHAnsi"/>
          <w:sz w:val="20"/>
          <w:szCs w:val="20"/>
        </w:rPr>
        <w:t xml:space="preserve">the </w:t>
      </w:r>
      <w:r w:rsidRPr="00AD33CF">
        <w:rPr>
          <w:rFonts w:asciiTheme="majorHAnsi" w:hAnsiTheme="majorHAnsi" w:cstheme="majorHAnsi"/>
          <w:sz w:val="20"/>
          <w:szCs w:val="20"/>
        </w:rPr>
        <w:t>revised time series, as well as the level of revision detail. Additionally, prior to a major revision, experimental calculations will be performed (at least for the most important indicators)</w:t>
      </w:r>
      <w:r w:rsidR="00130576" w:rsidRPr="00AD33CF">
        <w:rPr>
          <w:rFonts w:asciiTheme="majorHAnsi" w:hAnsiTheme="majorHAnsi" w:cstheme="majorHAnsi"/>
          <w:sz w:val="20"/>
          <w:szCs w:val="20"/>
        </w:rPr>
        <w:t>,</w:t>
      </w:r>
      <w:r w:rsidRPr="00AD33CF">
        <w:rPr>
          <w:rFonts w:asciiTheme="majorHAnsi" w:hAnsiTheme="majorHAnsi" w:cstheme="majorHAnsi"/>
          <w:sz w:val="20"/>
          <w:szCs w:val="20"/>
        </w:rPr>
        <w:t xml:space="preserve"> and </w:t>
      </w:r>
      <w:r w:rsidR="0089749C" w:rsidRPr="00AD33CF">
        <w:rPr>
          <w:rFonts w:asciiTheme="majorHAnsi" w:hAnsiTheme="majorHAnsi" w:cstheme="majorHAnsi"/>
          <w:sz w:val="20"/>
          <w:szCs w:val="20"/>
        </w:rPr>
        <w:t xml:space="preserve">further on </w:t>
      </w:r>
      <w:r w:rsidRPr="00AD33CF">
        <w:rPr>
          <w:rFonts w:asciiTheme="majorHAnsi" w:hAnsiTheme="majorHAnsi" w:cstheme="majorHAnsi"/>
          <w:sz w:val="20"/>
          <w:szCs w:val="20"/>
        </w:rPr>
        <w:t xml:space="preserve">the revision </w:t>
      </w:r>
      <w:r w:rsidR="00831D74" w:rsidRPr="00AD33CF">
        <w:rPr>
          <w:rFonts w:asciiTheme="majorHAnsi" w:hAnsiTheme="majorHAnsi" w:cstheme="majorHAnsi"/>
          <w:sz w:val="20"/>
          <w:szCs w:val="20"/>
        </w:rPr>
        <w:t xml:space="preserve">results of </w:t>
      </w:r>
      <w:r w:rsidR="00130576" w:rsidRPr="00AD33CF">
        <w:rPr>
          <w:rFonts w:asciiTheme="majorHAnsi" w:hAnsiTheme="majorHAnsi" w:cstheme="majorHAnsi"/>
          <w:sz w:val="20"/>
          <w:szCs w:val="20"/>
        </w:rPr>
        <w:t xml:space="preserve">the </w:t>
      </w:r>
      <w:r w:rsidR="00831D74" w:rsidRPr="00AD33CF">
        <w:rPr>
          <w:rFonts w:asciiTheme="majorHAnsi" w:hAnsiTheme="majorHAnsi" w:cstheme="majorHAnsi"/>
          <w:sz w:val="20"/>
          <w:szCs w:val="20"/>
        </w:rPr>
        <w:t xml:space="preserve">analysis </w:t>
      </w:r>
      <w:r w:rsidR="008B5FC4" w:rsidRPr="00AD33CF">
        <w:rPr>
          <w:rFonts w:asciiTheme="majorHAnsi" w:hAnsiTheme="majorHAnsi" w:cstheme="majorHAnsi"/>
          <w:sz w:val="20"/>
          <w:szCs w:val="20"/>
        </w:rPr>
        <w:t>should</w:t>
      </w:r>
      <w:r w:rsidR="00831D74" w:rsidRPr="00AD33CF">
        <w:rPr>
          <w:rFonts w:asciiTheme="majorHAnsi" w:hAnsiTheme="majorHAnsi" w:cstheme="majorHAnsi"/>
          <w:sz w:val="20"/>
          <w:szCs w:val="20"/>
        </w:rPr>
        <w:t xml:space="preserve"> be</w:t>
      </w:r>
      <w:r w:rsidRPr="00AD33CF">
        <w:rPr>
          <w:rFonts w:asciiTheme="majorHAnsi" w:hAnsiTheme="majorHAnsi" w:cstheme="majorHAnsi"/>
          <w:sz w:val="20"/>
          <w:szCs w:val="20"/>
        </w:rPr>
        <w:t xml:space="preserve"> publish</w:t>
      </w:r>
      <w:r w:rsidR="00831D74" w:rsidRPr="00AD33CF">
        <w:rPr>
          <w:rFonts w:asciiTheme="majorHAnsi" w:hAnsiTheme="majorHAnsi" w:cstheme="majorHAnsi"/>
          <w:sz w:val="20"/>
          <w:szCs w:val="20"/>
        </w:rPr>
        <w:t>ed.</w:t>
      </w:r>
      <w:r w:rsidRPr="00AD33CF">
        <w:rPr>
          <w:rFonts w:asciiTheme="majorHAnsi" w:hAnsiTheme="majorHAnsi" w:cstheme="majorHAnsi"/>
          <w:sz w:val="20"/>
          <w:szCs w:val="20"/>
        </w:rPr>
        <w:t xml:space="preserve"> </w:t>
      </w:r>
    </w:p>
    <w:p w14:paraId="6E5FF55E" w14:textId="77777777" w:rsidR="001E676B" w:rsidRPr="00AD33CF" w:rsidRDefault="001E676B" w:rsidP="00291D13">
      <w:pPr>
        <w:spacing w:after="0" w:line="276" w:lineRule="auto"/>
        <w:jc w:val="both"/>
        <w:rPr>
          <w:rFonts w:asciiTheme="majorHAnsi" w:hAnsiTheme="majorHAnsi" w:cstheme="majorHAnsi"/>
          <w:sz w:val="20"/>
          <w:szCs w:val="20"/>
        </w:rPr>
      </w:pPr>
    </w:p>
    <w:p w14:paraId="23BD9C5F" w14:textId="0ACE4957" w:rsidR="00B63618" w:rsidRPr="00AD33CF" w:rsidRDefault="00B63618"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To ensure cross-domain consistency, all improvements will be applied across all domains.</w:t>
      </w:r>
    </w:p>
    <w:p w14:paraId="494B4085" w14:textId="273BBB55" w:rsidR="00A747A9" w:rsidRPr="00AD33CF" w:rsidRDefault="00A747A9" w:rsidP="002E2F6A">
      <w:pPr>
        <w:jc w:val="both"/>
        <w:rPr>
          <w:rFonts w:asciiTheme="majorHAnsi" w:hAnsiTheme="majorHAnsi" w:cstheme="majorHAnsi"/>
          <w:sz w:val="20"/>
          <w:szCs w:val="20"/>
        </w:rPr>
      </w:pPr>
    </w:p>
    <w:p w14:paraId="398E7B61" w14:textId="0F0E1B1D" w:rsidR="00A747A9" w:rsidRDefault="00A747A9" w:rsidP="002E2F6A">
      <w:pPr>
        <w:jc w:val="both"/>
        <w:rPr>
          <w:rFonts w:asciiTheme="majorHAnsi" w:hAnsiTheme="majorHAnsi" w:cstheme="majorHAnsi"/>
          <w:sz w:val="20"/>
          <w:szCs w:val="20"/>
        </w:rPr>
      </w:pPr>
    </w:p>
    <w:p w14:paraId="2B32DFE2" w14:textId="5593EE4B" w:rsidR="00A459AE" w:rsidRDefault="00A459AE" w:rsidP="002E2F6A">
      <w:pPr>
        <w:jc w:val="both"/>
        <w:rPr>
          <w:rFonts w:asciiTheme="majorHAnsi" w:hAnsiTheme="majorHAnsi" w:cstheme="majorHAnsi"/>
          <w:sz w:val="20"/>
          <w:szCs w:val="20"/>
        </w:rPr>
      </w:pPr>
    </w:p>
    <w:p w14:paraId="2729958E" w14:textId="77777777" w:rsidR="00A459AE" w:rsidRPr="00AD33CF" w:rsidRDefault="00A459AE" w:rsidP="002E2F6A">
      <w:pPr>
        <w:jc w:val="both"/>
        <w:rPr>
          <w:rFonts w:asciiTheme="majorHAnsi" w:hAnsiTheme="majorHAnsi" w:cstheme="majorHAnsi"/>
          <w:sz w:val="20"/>
          <w:szCs w:val="20"/>
        </w:rPr>
      </w:pPr>
    </w:p>
    <w:p w14:paraId="7A5FACE0" w14:textId="758460E5" w:rsidR="00A747A9" w:rsidRPr="00AD33CF" w:rsidRDefault="00A747A9" w:rsidP="00A747A9">
      <w:pPr>
        <w:pStyle w:val="Heading1"/>
      </w:pPr>
      <w:bookmarkStart w:id="5" w:name="_Toc141874696"/>
      <w:r w:rsidRPr="00AD33CF">
        <w:lastRenderedPageBreak/>
        <w:t xml:space="preserve">Irregular </w:t>
      </w:r>
      <w:r w:rsidR="00427647" w:rsidRPr="00AD33CF">
        <w:t xml:space="preserve">(non-scheduled) </w:t>
      </w:r>
      <w:r w:rsidRPr="00AD33CF">
        <w:t>revisions</w:t>
      </w:r>
      <w:bookmarkEnd w:id="5"/>
      <w:r w:rsidRPr="00AD33CF">
        <w:t xml:space="preserve"> </w:t>
      </w:r>
    </w:p>
    <w:p w14:paraId="692FFE98" w14:textId="77777777" w:rsidR="00291D13" w:rsidRDefault="00291D13" w:rsidP="00291D13">
      <w:pPr>
        <w:spacing w:after="0" w:line="276" w:lineRule="auto"/>
        <w:jc w:val="both"/>
        <w:rPr>
          <w:rFonts w:asciiTheme="majorHAnsi" w:hAnsiTheme="majorHAnsi" w:cstheme="majorHAnsi"/>
          <w:sz w:val="20"/>
          <w:szCs w:val="20"/>
        </w:rPr>
      </w:pPr>
    </w:p>
    <w:p w14:paraId="4413E987" w14:textId="4D44F320" w:rsidR="000554EA" w:rsidRDefault="000554EA"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 xml:space="preserve">Non-scheduled revisions are unforeseen changes in published data, which stem from unexpected events. They are </w:t>
      </w:r>
      <w:r w:rsidR="0089749C" w:rsidRPr="00AD33CF">
        <w:rPr>
          <w:rFonts w:asciiTheme="majorHAnsi" w:hAnsiTheme="majorHAnsi" w:cstheme="majorHAnsi"/>
          <w:sz w:val="20"/>
          <w:szCs w:val="20"/>
        </w:rPr>
        <w:t xml:space="preserve">implemented </w:t>
      </w:r>
      <w:r w:rsidRPr="00AD33CF">
        <w:rPr>
          <w:rFonts w:asciiTheme="majorHAnsi" w:hAnsiTheme="majorHAnsi" w:cstheme="majorHAnsi"/>
          <w:sz w:val="20"/>
          <w:szCs w:val="20"/>
        </w:rPr>
        <w:t xml:space="preserve">upon the detection of </w:t>
      </w:r>
      <w:r w:rsidR="00B746EB" w:rsidRPr="00AD33CF">
        <w:rPr>
          <w:rFonts w:asciiTheme="majorHAnsi" w:hAnsiTheme="majorHAnsi" w:cstheme="majorHAnsi"/>
          <w:sz w:val="20"/>
          <w:szCs w:val="20"/>
        </w:rPr>
        <w:t>errors (</w:t>
      </w:r>
      <w:r w:rsidRPr="00AD33CF">
        <w:rPr>
          <w:rFonts w:asciiTheme="majorHAnsi" w:hAnsiTheme="majorHAnsi" w:cstheme="majorHAnsi"/>
          <w:sz w:val="20"/>
          <w:szCs w:val="20"/>
        </w:rPr>
        <w:t>minor</w:t>
      </w:r>
      <w:r w:rsidR="00B746EB" w:rsidRPr="00AD33CF">
        <w:rPr>
          <w:rFonts w:asciiTheme="majorHAnsi" w:hAnsiTheme="majorHAnsi" w:cstheme="majorHAnsi"/>
          <w:sz w:val="20"/>
          <w:szCs w:val="20"/>
        </w:rPr>
        <w:t xml:space="preserve"> or </w:t>
      </w:r>
      <w:r w:rsidRPr="00AD33CF">
        <w:rPr>
          <w:rFonts w:asciiTheme="majorHAnsi" w:hAnsiTheme="majorHAnsi" w:cstheme="majorHAnsi"/>
          <w:sz w:val="20"/>
          <w:szCs w:val="20"/>
        </w:rPr>
        <w:t>serious</w:t>
      </w:r>
      <w:r w:rsidR="00B746EB" w:rsidRPr="00AD33CF">
        <w:rPr>
          <w:rFonts w:asciiTheme="majorHAnsi" w:hAnsiTheme="majorHAnsi" w:cstheme="majorHAnsi"/>
          <w:sz w:val="20"/>
          <w:szCs w:val="20"/>
        </w:rPr>
        <w:t>)</w:t>
      </w:r>
      <w:r w:rsidRPr="00AD33CF">
        <w:rPr>
          <w:rFonts w:asciiTheme="majorHAnsi" w:hAnsiTheme="majorHAnsi" w:cstheme="majorHAnsi"/>
          <w:sz w:val="20"/>
          <w:szCs w:val="20"/>
        </w:rPr>
        <w:t xml:space="preserve"> in published data/information</w:t>
      </w:r>
      <w:r w:rsidR="00B746EB" w:rsidRPr="00AD33CF">
        <w:rPr>
          <w:rFonts w:asciiTheme="majorHAnsi" w:hAnsiTheme="majorHAnsi" w:cstheme="majorHAnsi"/>
          <w:sz w:val="20"/>
          <w:szCs w:val="20"/>
        </w:rPr>
        <w:t>.</w:t>
      </w:r>
      <w:r w:rsidRPr="00AD33CF">
        <w:rPr>
          <w:rFonts w:asciiTheme="majorHAnsi" w:hAnsiTheme="majorHAnsi" w:cstheme="majorHAnsi"/>
          <w:sz w:val="20"/>
          <w:szCs w:val="20"/>
        </w:rPr>
        <w:t xml:space="preserve"> </w:t>
      </w:r>
    </w:p>
    <w:p w14:paraId="0855D7A8" w14:textId="77777777" w:rsidR="001E676B" w:rsidRDefault="001E676B" w:rsidP="00291D13">
      <w:pPr>
        <w:spacing w:after="0" w:line="276" w:lineRule="auto"/>
        <w:jc w:val="both"/>
        <w:rPr>
          <w:rFonts w:asciiTheme="majorHAnsi" w:hAnsiTheme="majorHAnsi" w:cstheme="majorHAnsi"/>
          <w:sz w:val="20"/>
          <w:szCs w:val="20"/>
        </w:rPr>
      </w:pPr>
    </w:p>
    <w:p w14:paraId="4D61177D" w14:textId="748F15E2" w:rsidR="00E65686" w:rsidRDefault="00E65686"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 xml:space="preserve">Frequent non-scheduled revision may confuse the users and undermine their confidence in the statistics quality. Therefore, it is very important to avoid them whenever it is possible and limit them only to cases of serious errors. </w:t>
      </w:r>
    </w:p>
    <w:p w14:paraId="30477C3C" w14:textId="77777777" w:rsidR="001E676B" w:rsidRPr="00AD33CF" w:rsidRDefault="001E676B" w:rsidP="00291D13">
      <w:pPr>
        <w:spacing w:after="0" w:line="276" w:lineRule="auto"/>
        <w:jc w:val="both"/>
        <w:rPr>
          <w:rFonts w:asciiTheme="majorHAnsi" w:hAnsiTheme="majorHAnsi" w:cstheme="majorHAnsi"/>
          <w:sz w:val="20"/>
          <w:szCs w:val="20"/>
        </w:rPr>
      </w:pPr>
    </w:p>
    <w:p w14:paraId="20CEE204" w14:textId="4F08DADC" w:rsidR="00E65686" w:rsidRDefault="00E65686"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It is worth mentioning that, depending on users’ needs, an error might be seen as minor by one user and as serious by another user. This should be taken into account when determining the type of error and deciding on performing non-scheduled revisions.</w:t>
      </w:r>
    </w:p>
    <w:p w14:paraId="2F775876" w14:textId="77777777" w:rsidR="00950549" w:rsidRPr="00AD33CF" w:rsidRDefault="00950549" w:rsidP="00291D13">
      <w:pPr>
        <w:spacing w:after="0" w:line="276" w:lineRule="auto"/>
        <w:jc w:val="both"/>
        <w:rPr>
          <w:rFonts w:asciiTheme="majorHAnsi" w:hAnsiTheme="majorHAnsi" w:cstheme="majorHAnsi"/>
          <w:sz w:val="20"/>
          <w:szCs w:val="20"/>
        </w:rPr>
      </w:pPr>
    </w:p>
    <w:p w14:paraId="3BC1717F" w14:textId="77777777" w:rsidR="00E65686" w:rsidRPr="00AD33CF" w:rsidRDefault="00E65686" w:rsidP="00E65686">
      <w:pPr>
        <w:jc w:val="both"/>
        <w:rPr>
          <w:rFonts w:asciiTheme="majorHAnsi" w:hAnsiTheme="majorHAnsi" w:cstheme="majorHAnsi"/>
          <w:sz w:val="20"/>
          <w:szCs w:val="20"/>
        </w:rPr>
      </w:pPr>
      <w:r w:rsidRPr="00AD33CF">
        <w:rPr>
          <w:rFonts w:asciiTheme="majorHAnsi" w:hAnsiTheme="majorHAnsi" w:cstheme="majorHAnsi"/>
          <w:sz w:val="20"/>
          <w:szCs w:val="20"/>
        </w:rPr>
        <w:t>The main principles applied in non-scheduled revisions are the following:</w:t>
      </w:r>
    </w:p>
    <w:p w14:paraId="072BD7E7" w14:textId="77777777" w:rsidR="00E65686" w:rsidRPr="00AD33CF" w:rsidRDefault="00E65686" w:rsidP="00E65686">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if a minor error has been detected, the error has to be corrected as soon as possible in all forms of dissemination without particular notification of the users;</w:t>
      </w:r>
    </w:p>
    <w:p w14:paraId="38066653" w14:textId="77777777" w:rsidR="00E65686" w:rsidRPr="00AD33CF" w:rsidRDefault="00E65686" w:rsidP="00E65686">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 xml:space="preserve">serious errors detected immediately after data publishing should be corrected as soon as possible; </w:t>
      </w:r>
    </w:p>
    <w:p w14:paraId="68905AD6" w14:textId="77777777" w:rsidR="00E65686" w:rsidRPr="00AD33CF" w:rsidRDefault="00E65686" w:rsidP="00E65686">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 xml:space="preserve">users should be informed about the upcoming non-scheduled revision using the same means of information as in the data release; </w:t>
      </w:r>
    </w:p>
    <w:p w14:paraId="04F9B809" w14:textId="0AAC60FF" w:rsidR="00E65686" w:rsidRDefault="00E65686" w:rsidP="001E676B">
      <w:pPr>
        <w:pStyle w:val="ListParagraph"/>
        <w:numPr>
          <w:ilvl w:val="0"/>
          <w:numId w:val="25"/>
        </w:numPr>
        <w:spacing w:after="0"/>
        <w:jc w:val="both"/>
        <w:rPr>
          <w:rFonts w:asciiTheme="majorHAnsi" w:hAnsiTheme="majorHAnsi" w:cstheme="majorHAnsi"/>
          <w:sz w:val="20"/>
          <w:szCs w:val="20"/>
        </w:rPr>
      </w:pPr>
      <w:proofErr w:type="gramStart"/>
      <w:r w:rsidRPr="00AD33CF">
        <w:rPr>
          <w:rFonts w:asciiTheme="majorHAnsi" w:hAnsiTheme="majorHAnsi" w:cstheme="majorHAnsi"/>
          <w:sz w:val="20"/>
          <w:szCs w:val="20"/>
        </w:rPr>
        <w:t>the</w:t>
      </w:r>
      <w:proofErr w:type="gramEnd"/>
      <w:r w:rsidRPr="00AD33CF">
        <w:rPr>
          <w:rFonts w:asciiTheme="majorHAnsi" w:hAnsiTheme="majorHAnsi" w:cstheme="majorHAnsi"/>
          <w:sz w:val="20"/>
          <w:szCs w:val="20"/>
        </w:rPr>
        <w:t xml:space="preserve"> date of the non-scheduled revision should be added in the revision calendar.</w:t>
      </w:r>
    </w:p>
    <w:p w14:paraId="1211BD61" w14:textId="77777777" w:rsidR="00950549" w:rsidRPr="00950549" w:rsidRDefault="00950549" w:rsidP="00291D13">
      <w:pPr>
        <w:spacing w:after="0" w:line="276" w:lineRule="auto"/>
        <w:jc w:val="both"/>
        <w:rPr>
          <w:rFonts w:asciiTheme="majorHAnsi" w:hAnsiTheme="majorHAnsi" w:cstheme="majorHAnsi"/>
          <w:sz w:val="20"/>
          <w:szCs w:val="20"/>
        </w:rPr>
      </w:pPr>
    </w:p>
    <w:p w14:paraId="7B15E125" w14:textId="77777777" w:rsidR="00E65686" w:rsidRPr="00AD33CF" w:rsidRDefault="00E65686" w:rsidP="00291D13">
      <w:pPr>
        <w:spacing w:line="276" w:lineRule="auto"/>
        <w:jc w:val="both"/>
        <w:rPr>
          <w:rFonts w:asciiTheme="majorHAnsi" w:hAnsiTheme="majorHAnsi" w:cstheme="majorHAnsi"/>
          <w:sz w:val="20"/>
          <w:szCs w:val="20"/>
        </w:rPr>
      </w:pPr>
      <w:r w:rsidRPr="00AD33CF">
        <w:rPr>
          <w:rFonts w:asciiTheme="majorHAnsi" w:hAnsiTheme="majorHAnsi" w:cstheme="majorHAnsi"/>
          <w:sz w:val="20"/>
          <w:szCs w:val="20"/>
        </w:rPr>
        <w:t>SORS has established Procedures for the correction of errors in released data and information, which lays down all the activities relative to non-scheduled revisions, as well as the channels of informing users. This procedure defines the following:</w:t>
      </w:r>
    </w:p>
    <w:p w14:paraId="116B4B45" w14:textId="77777777" w:rsidR="00E65686" w:rsidRPr="00AD33CF" w:rsidRDefault="00E65686" w:rsidP="00E65686">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detection of errors;</w:t>
      </w:r>
      <w:r w:rsidRPr="00AD33CF">
        <w:rPr>
          <w:rFonts w:asciiTheme="majorHAnsi" w:hAnsiTheme="majorHAnsi" w:cstheme="majorHAnsi"/>
          <w:sz w:val="20"/>
          <w:szCs w:val="20"/>
        </w:rPr>
        <w:tab/>
      </w:r>
    </w:p>
    <w:p w14:paraId="5C334F3C" w14:textId="77777777" w:rsidR="00E65686" w:rsidRPr="00AD33CF" w:rsidRDefault="00E65686" w:rsidP="00E65686">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determining error types;</w:t>
      </w:r>
      <w:r w:rsidRPr="00AD33CF">
        <w:rPr>
          <w:rFonts w:asciiTheme="majorHAnsi" w:hAnsiTheme="majorHAnsi" w:cstheme="majorHAnsi"/>
          <w:sz w:val="20"/>
          <w:szCs w:val="20"/>
        </w:rPr>
        <w:tab/>
      </w:r>
    </w:p>
    <w:p w14:paraId="3773A157" w14:textId="77777777" w:rsidR="00E65686" w:rsidRPr="00AD33CF" w:rsidRDefault="00E65686" w:rsidP="00E65686">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correction of minor errors in statistics/information;</w:t>
      </w:r>
      <w:r w:rsidRPr="00AD33CF">
        <w:rPr>
          <w:rFonts w:asciiTheme="majorHAnsi" w:hAnsiTheme="majorHAnsi" w:cstheme="majorHAnsi"/>
          <w:sz w:val="20"/>
          <w:szCs w:val="20"/>
        </w:rPr>
        <w:tab/>
      </w:r>
    </w:p>
    <w:p w14:paraId="6A0159B3" w14:textId="77777777" w:rsidR="00E65686" w:rsidRPr="00AD33CF" w:rsidRDefault="00E65686" w:rsidP="00E65686">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correction of serious errors in statistics/information;</w:t>
      </w:r>
    </w:p>
    <w:p w14:paraId="50DB12B9" w14:textId="77777777" w:rsidR="00E65686" w:rsidRPr="00AD33CF" w:rsidRDefault="00E65686" w:rsidP="00E65686">
      <w:pPr>
        <w:pStyle w:val="ListParagraph"/>
        <w:numPr>
          <w:ilvl w:val="0"/>
          <w:numId w:val="30"/>
        </w:numPr>
        <w:jc w:val="both"/>
        <w:rPr>
          <w:rFonts w:asciiTheme="majorHAnsi" w:hAnsiTheme="majorHAnsi" w:cstheme="majorHAnsi"/>
          <w:sz w:val="20"/>
          <w:szCs w:val="20"/>
        </w:rPr>
      </w:pPr>
      <w:r w:rsidRPr="00AD33CF">
        <w:rPr>
          <w:rFonts w:asciiTheme="majorHAnsi" w:hAnsiTheme="majorHAnsi" w:cstheme="majorHAnsi"/>
          <w:sz w:val="20"/>
          <w:szCs w:val="20"/>
        </w:rPr>
        <w:t>correction of serious errors in printed publications;</w:t>
      </w:r>
    </w:p>
    <w:p w14:paraId="7F6A3638" w14:textId="77777777" w:rsidR="00E65686" w:rsidRPr="00AD33CF" w:rsidRDefault="00E65686" w:rsidP="00E65686">
      <w:pPr>
        <w:pStyle w:val="ListParagraph"/>
        <w:numPr>
          <w:ilvl w:val="0"/>
          <w:numId w:val="30"/>
        </w:numPr>
        <w:jc w:val="both"/>
        <w:rPr>
          <w:rFonts w:asciiTheme="majorHAnsi" w:hAnsiTheme="majorHAnsi" w:cstheme="majorHAnsi"/>
          <w:sz w:val="20"/>
          <w:szCs w:val="20"/>
        </w:rPr>
      </w:pPr>
      <w:r w:rsidRPr="00AD33CF">
        <w:rPr>
          <w:rFonts w:asciiTheme="majorHAnsi" w:hAnsiTheme="majorHAnsi" w:cstheme="majorHAnsi"/>
          <w:sz w:val="20"/>
          <w:szCs w:val="20"/>
        </w:rPr>
        <w:t>correction of serious errors in electronic editions (publications, statistical releases and press releases);</w:t>
      </w:r>
      <w:r w:rsidRPr="00AD33CF">
        <w:rPr>
          <w:rFonts w:asciiTheme="majorHAnsi" w:hAnsiTheme="majorHAnsi" w:cstheme="majorHAnsi"/>
          <w:sz w:val="20"/>
          <w:szCs w:val="20"/>
        </w:rPr>
        <w:tab/>
      </w:r>
    </w:p>
    <w:p w14:paraId="28AEFB94" w14:textId="77777777" w:rsidR="00E65686" w:rsidRPr="00AD33CF" w:rsidRDefault="00E65686" w:rsidP="00E65686">
      <w:pPr>
        <w:pStyle w:val="ListParagraph"/>
        <w:numPr>
          <w:ilvl w:val="0"/>
          <w:numId w:val="30"/>
        </w:numPr>
        <w:jc w:val="both"/>
        <w:rPr>
          <w:rFonts w:asciiTheme="majorHAnsi" w:hAnsiTheme="majorHAnsi" w:cstheme="majorHAnsi"/>
          <w:sz w:val="20"/>
          <w:szCs w:val="20"/>
        </w:rPr>
      </w:pPr>
      <w:r w:rsidRPr="00AD33CF">
        <w:rPr>
          <w:rFonts w:asciiTheme="majorHAnsi" w:hAnsiTheme="majorHAnsi" w:cstheme="majorHAnsi"/>
          <w:sz w:val="20"/>
          <w:szCs w:val="20"/>
        </w:rPr>
        <w:t>correction of serious errors in databases;</w:t>
      </w:r>
      <w:r w:rsidRPr="00AD33CF">
        <w:rPr>
          <w:rFonts w:asciiTheme="majorHAnsi" w:hAnsiTheme="majorHAnsi" w:cstheme="majorHAnsi"/>
          <w:sz w:val="20"/>
          <w:szCs w:val="20"/>
        </w:rPr>
        <w:tab/>
      </w:r>
    </w:p>
    <w:p w14:paraId="5BF632B5" w14:textId="77777777" w:rsidR="00E65686" w:rsidRPr="00AD33CF" w:rsidRDefault="00E65686" w:rsidP="00E65686">
      <w:pPr>
        <w:pStyle w:val="ListParagraph"/>
        <w:numPr>
          <w:ilvl w:val="0"/>
          <w:numId w:val="30"/>
        </w:numPr>
        <w:jc w:val="both"/>
        <w:rPr>
          <w:rFonts w:asciiTheme="majorHAnsi" w:hAnsiTheme="majorHAnsi" w:cstheme="majorHAnsi"/>
          <w:sz w:val="20"/>
          <w:szCs w:val="20"/>
        </w:rPr>
      </w:pPr>
      <w:r w:rsidRPr="00AD33CF">
        <w:rPr>
          <w:rFonts w:asciiTheme="majorHAnsi" w:hAnsiTheme="majorHAnsi" w:cstheme="majorHAnsi"/>
          <w:sz w:val="20"/>
          <w:szCs w:val="20"/>
        </w:rPr>
        <w:t>correction of serious errors in website content;</w:t>
      </w:r>
      <w:r w:rsidRPr="00AD33CF">
        <w:rPr>
          <w:rFonts w:asciiTheme="majorHAnsi" w:hAnsiTheme="majorHAnsi" w:cstheme="majorHAnsi"/>
          <w:sz w:val="20"/>
          <w:szCs w:val="20"/>
        </w:rPr>
        <w:tab/>
      </w:r>
    </w:p>
    <w:p w14:paraId="0F0430B5" w14:textId="77777777" w:rsidR="00E65686" w:rsidRPr="00AD33CF" w:rsidRDefault="00E65686" w:rsidP="00E65686">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exception from activities in removing serious errors;</w:t>
      </w:r>
      <w:r w:rsidRPr="00AD33CF">
        <w:rPr>
          <w:rFonts w:asciiTheme="majorHAnsi" w:hAnsiTheme="majorHAnsi" w:cstheme="majorHAnsi"/>
          <w:sz w:val="20"/>
          <w:szCs w:val="20"/>
        </w:rPr>
        <w:tab/>
      </w:r>
    </w:p>
    <w:p w14:paraId="2ECD5943" w14:textId="4A5E652E" w:rsidR="00E65686" w:rsidRDefault="00E65686" w:rsidP="00E65686">
      <w:pPr>
        <w:pStyle w:val="ListParagraph"/>
        <w:numPr>
          <w:ilvl w:val="0"/>
          <w:numId w:val="25"/>
        </w:numPr>
        <w:jc w:val="both"/>
        <w:rPr>
          <w:rFonts w:asciiTheme="majorHAnsi" w:hAnsiTheme="majorHAnsi" w:cstheme="majorHAnsi"/>
          <w:sz w:val="20"/>
          <w:szCs w:val="20"/>
        </w:rPr>
      </w:pPr>
      <w:r w:rsidRPr="00AD33CF">
        <w:rPr>
          <w:rFonts w:asciiTheme="majorHAnsi" w:hAnsiTheme="majorHAnsi" w:cstheme="majorHAnsi"/>
          <w:sz w:val="20"/>
          <w:szCs w:val="20"/>
        </w:rPr>
        <w:t xml:space="preserve">error correction </w:t>
      </w:r>
      <w:r w:rsidR="00E653AE">
        <w:rPr>
          <w:rFonts w:asciiTheme="majorHAnsi" w:hAnsiTheme="majorHAnsi" w:cstheme="majorHAnsi"/>
          <w:sz w:val="20"/>
          <w:szCs w:val="20"/>
        </w:rPr>
        <w:t>in the calendar of publications;</w:t>
      </w:r>
    </w:p>
    <w:p w14:paraId="16E61A16" w14:textId="631344A1" w:rsidR="00E65686" w:rsidRPr="00AD33CF" w:rsidRDefault="00E653AE" w:rsidP="001E676B">
      <w:pPr>
        <w:pStyle w:val="ListParagraph"/>
        <w:numPr>
          <w:ilvl w:val="0"/>
          <w:numId w:val="25"/>
        </w:numPr>
        <w:spacing w:after="0"/>
        <w:jc w:val="both"/>
        <w:rPr>
          <w:rFonts w:asciiTheme="majorHAnsi" w:hAnsiTheme="majorHAnsi" w:cstheme="majorHAnsi"/>
          <w:sz w:val="20"/>
          <w:szCs w:val="20"/>
        </w:rPr>
      </w:pPr>
      <w:proofErr w:type="gramStart"/>
      <w:r>
        <w:rPr>
          <w:rFonts w:asciiTheme="majorHAnsi" w:hAnsiTheme="majorHAnsi" w:cstheme="majorHAnsi"/>
          <w:sz w:val="20"/>
          <w:szCs w:val="20"/>
        </w:rPr>
        <w:t>f</w:t>
      </w:r>
      <w:r w:rsidR="00E65686" w:rsidRPr="00AD33CF">
        <w:rPr>
          <w:rFonts w:asciiTheme="majorHAnsi" w:hAnsiTheme="majorHAnsi" w:cstheme="majorHAnsi"/>
          <w:sz w:val="20"/>
          <w:szCs w:val="20"/>
        </w:rPr>
        <w:t>orm</w:t>
      </w:r>
      <w:proofErr w:type="gramEnd"/>
      <w:r w:rsidR="00E65686" w:rsidRPr="00AD33CF">
        <w:rPr>
          <w:rFonts w:asciiTheme="majorHAnsi" w:hAnsiTheme="majorHAnsi" w:cstheme="majorHAnsi"/>
          <w:sz w:val="20"/>
          <w:szCs w:val="20"/>
        </w:rPr>
        <w:t xml:space="preserve"> for serious mistakes correction - a standardized form for the reporting of detected serious errors in the published statistical data/ information.</w:t>
      </w:r>
      <w:r w:rsidR="00E65686" w:rsidRPr="00AD33CF">
        <w:rPr>
          <w:rFonts w:asciiTheme="majorHAnsi" w:hAnsiTheme="majorHAnsi" w:cstheme="majorHAnsi"/>
          <w:sz w:val="20"/>
          <w:szCs w:val="20"/>
        </w:rPr>
        <w:tab/>
      </w:r>
    </w:p>
    <w:p w14:paraId="173E8AA3" w14:textId="77777777" w:rsidR="00950549" w:rsidRDefault="00950549" w:rsidP="001E676B">
      <w:pPr>
        <w:spacing w:after="0" w:line="276" w:lineRule="auto"/>
        <w:jc w:val="both"/>
        <w:rPr>
          <w:rFonts w:asciiTheme="majorHAnsi" w:hAnsiTheme="majorHAnsi" w:cstheme="majorHAnsi"/>
          <w:sz w:val="20"/>
          <w:szCs w:val="20"/>
        </w:rPr>
      </w:pPr>
    </w:p>
    <w:p w14:paraId="1483810E" w14:textId="6A49408E" w:rsidR="00E65686" w:rsidRPr="00AD33CF" w:rsidRDefault="00E65686"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National accounts have not conducted a single non-scheduled revision so far</w:t>
      </w:r>
      <w:r w:rsidR="00875A21">
        <w:rPr>
          <w:rFonts w:asciiTheme="majorHAnsi" w:hAnsiTheme="majorHAnsi" w:cstheme="majorHAnsi"/>
          <w:sz w:val="20"/>
          <w:szCs w:val="20"/>
        </w:rPr>
        <w:t>.</w:t>
      </w:r>
    </w:p>
    <w:p w14:paraId="6A4F895A" w14:textId="77777777" w:rsidR="00E65686" w:rsidRPr="00AD33CF" w:rsidRDefault="00E65686" w:rsidP="00291D13">
      <w:pPr>
        <w:spacing w:after="0" w:line="276" w:lineRule="auto"/>
        <w:jc w:val="both"/>
        <w:rPr>
          <w:rFonts w:asciiTheme="majorHAnsi" w:hAnsiTheme="majorHAnsi" w:cstheme="majorHAnsi"/>
          <w:sz w:val="20"/>
          <w:szCs w:val="20"/>
        </w:rPr>
      </w:pPr>
    </w:p>
    <w:p w14:paraId="7FCEDAEE" w14:textId="41E52D9F" w:rsidR="00FB65B7" w:rsidRPr="00AD33CF" w:rsidRDefault="00130576" w:rsidP="00291D13">
      <w:pPr>
        <w:spacing w:after="0" w:line="276" w:lineRule="auto"/>
        <w:jc w:val="both"/>
        <w:rPr>
          <w:rFonts w:asciiTheme="majorHAnsi" w:hAnsiTheme="majorHAnsi" w:cstheme="majorHAnsi"/>
          <w:sz w:val="20"/>
          <w:szCs w:val="20"/>
        </w:rPr>
      </w:pPr>
      <w:r w:rsidRPr="00AD33CF">
        <w:rPr>
          <w:rFonts w:asciiTheme="majorHAnsi" w:hAnsiTheme="majorHAnsi" w:cstheme="majorHAnsi"/>
          <w:sz w:val="20"/>
          <w:szCs w:val="20"/>
        </w:rPr>
        <w:t>A detailed</w:t>
      </w:r>
      <w:r w:rsidR="00FB65B7" w:rsidRPr="00AD33CF">
        <w:rPr>
          <w:rFonts w:asciiTheme="majorHAnsi" w:hAnsiTheme="majorHAnsi" w:cstheme="majorHAnsi"/>
          <w:sz w:val="20"/>
          <w:szCs w:val="20"/>
        </w:rPr>
        <w:t xml:space="preserve"> explanation regarding irregular revisions </w:t>
      </w:r>
      <w:r w:rsidRPr="00AD33CF">
        <w:rPr>
          <w:rFonts w:asciiTheme="majorHAnsi" w:hAnsiTheme="majorHAnsi" w:cstheme="majorHAnsi"/>
          <w:sz w:val="20"/>
          <w:szCs w:val="20"/>
        </w:rPr>
        <w:t>can</w:t>
      </w:r>
      <w:r w:rsidR="00FB65B7" w:rsidRPr="00AD33CF">
        <w:rPr>
          <w:rFonts w:asciiTheme="majorHAnsi" w:hAnsiTheme="majorHAnsi" w:cstheme="majorHAnsi"/>
          <w:sz w:val="20"/>
          <w:szCs w:val="20"/>
        </w:rPr>
        <w:t xml:space="preserve"> be found in the document </w:t>
      </w:r>
      <w:hyperlink r:id="rId9" w:history="1">
        <w:r w:rsidR="00906365" w:rsidRPr="00AD33CF">
          <w:rPr>
            <w:rStyle w:val="Hyperlink"/>
            <w:rFonts w:asciiTheme="majorHAnsi" w:hAnsiTheme="majorHAnsi" w:cstheme="majorHAnsi"/>
            <w:sz w:val="20"/>
            <w:szCs w:val="20"/>
          </w:rPr>
          <w:t>"General revision policy"</w:t>
        </w:r>
      </w:hyperlink>
      <w:r w:rsidR="00906365" w:rsidRPr="00AD33CF">
        <w:rPr>
          <w:rFonts w:asciiTheme="majorHAnsi" w:hAnsiTheme="majorHAnsi" w:cstheme="majorHAnsi"/>
          <w:sz w:val="20"/>
          <w:szCs w:val="20"/>
        </w:rPr>
        <w:t>.</w:t>
      </w:r>
    </w:p>
    <w:p w14:paraId="17C43EEF" w14:textId="77777777" w:rsidR="00A747A9" w:rsidRPr="00AD33CF" w:rsidRDefault="00A747A9" w:rsidP="002E2F6A">
      <w:pPr>
        <w:jc w:val="both"/>
        <w:rPr>
          <w:rFonts w:asciiTheme="majorHAnsi" w:hAnsiTheme="majorHAnsi" w:cstheme="majorHAnsi"/>
          <w:sz w:val="20"/>
          <w:szCs w:val="20"/>
        </w:rPr>
      </w:pPr>
    </w:p>
    <w:sectPr w:rsidR="00A747A9" w:rsidRPr="00AD33CF" w:rsidSect="00130576">
      <w:footerReference w:type="even" r:id="rId10"/>
      <w:footerReference w:type="default" r:id="rId11"/>
      <w:headerReference w:type="first" r:id="rId12"/>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511E" w16cex:dateUtc="2023-07-13T08:31:00Z"/>
  <w16cex:commentExtensible w16cex:durableId="285A8BD7" w16cex:dateUtc="2023-07-13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02403" w16cid:durableId="285A511E"/>
  <w16cid:commentId w16cid:paraId="519CF14F" w16cid:durableId="285A8BD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8D6E5" w14:textId="77777777" w:rsidR="00E471CC" w:rsidRDefault="00E471CC" w:rsidP="008775ED">
      <w:pPr>
        <w:spacing w:after="0" w:line="240" w:lineRule="auto"/>
      </w:pPr>
      <w:r>
        <w:separator/>
      </w:r>
    </w:p>
  </w:endnote>
  <w:endnote w:type="continuationSeparator" w:id="0">
    <w:p w14:paraId="365D27F8" w14:textId="77777777" w:rsidR="00E471CC" w:rsidRDefault="00E471CC" w:rsidP="0087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203372"/>
      <w:docPartObj>
        <w:docPartGallery w:val="Page Numbers (Bottom of Page)"/>
        <w:docPartUnique/>
      </w:docPartObj>
    </w:sdtPr>
    <w:sdtEndPr>
      <w:rPr>
        <w:noProof/>
      </w:rPr>
    </w:sdtEndPr>
    <w:sdtContent>
      <w:p w14:paraId="4E392B93" w14:textId="715269DB" w:rsidR="00BA4670" w:rsidRDefault="00BA4670">
        <w:pPr>
          <w:pStyle w:val="Footer"/>
        </w:pPr>
        <w:r>
          <w:fldChar w:fldCharType="begin"/>
        </w:r>
        <w:r>
          <w:instrText xml:space="preserve"> PAGE   \* MERGEFORMAT </w:instrText>
        </w:r>
        <w:r>
          <w:fldChar w:fldCharType="separate"/>
        </w:r>
        <w:r w:rsidR="00130576">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51304"/>
      <w:docPartObj>
        <w:docPartGallery w:val="Page Numbers (Bottom of Page)"/>
        <w:docPartUnique/>
      </w:docPartObj>
    </w:sdtPr>
    <w:sdtEndPr>
      <w:rPr>
        <w:noProof/>
      </w:rPr>
    </w:sdtEndPr>
    <w:sdtContent>
      <w:p w14:paraId="2C9EF0CD" w14:textId="07F6C998" w:rsidR="00856101" w:rsidRDefault="00856101">
        <w:pPr>
          <w:pStyle w:val="Footer"/>
          <w:jc w:val="right"/>
        </w:pPr>
        <w:r>
          <w:fldChar w:fldCharType="begin"/>
        </w:r>
        <w:r>
          <w:instrText xml:space="preserve"> PAGE   \* MERGEFORMAT </w:instrText>
        </w:r>
        <w:r>
          <w:fldChar w:fldCharType="separate"/>
        </w:r>
        <w:r w:rsidR="00291D1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304FB" w14:textId="77777777" w:rsidR="00E471CC" w:rsidRDefault="00E471CC" w:rsidP="008775ED">
      <w:pPr>
        <w:spacing w:after="0" w:line="240" w:lineRule="auto"/>
      </w:pPr>
      <w:r>
        <w:separator/>
      </w:r>
    </w:p>
  </w:footnote>
  <w:footnote w:type="continuationSeparator" w:id="0">
    <w:p w14:paraId="2DD9636A" w14:textId="77777777" w:rsidR="00E471CC" w:rsidRDefault="00E471CC" w:rsidP="008775ED">
      <w:pPr>
        <w:spacing w:after="0" w:line="240" w:lineRule="auto"/>
      </w:pPr>
      <w:r>
        <w:continuationSeparator/>
      </w:r>
    </w:p>
  </w:footnote>
  <w:footnote w:id="1">
    <w:p w14:paraId="4F9E1FC9" w14:textId="77777777" w:rsidR="003D39D3" w:rsidRPr="0093425C" w:rsidRDefault="003D39D3" w:rsidP="003D39D3">
      <w:pPr>
        <w:pStyle w:val="FootnoteText"/>
        <w:rPr>
          <w:lang w:val="en-GB"/>
        </w:rPr>
      </w:pPr>
      <w:r>
        <w:rPr>
          <w:rStyle w:val="FootnoteReference"/>
        </w:rPr>
        <w:footnoteRef/>
      </w:r>
      <w:r>
        <w:t xml:space="preserve"> </w:t>
      </w:r>
      <w:hyperlink r:id="rId1" w:history="1">
        <w:r>
          <w:rPr>
            <w:rStyle w:val="Hyperlink"/>
          </w:rPr>
          <w:t>https://www.cmfb.org/main-topics/revision-policy</w:t>
        </w:r>
      </w:hyperlink>
    </w:p>
  </w:footnote>
  <w:footnote w:id="2">
    <w:p w14:paraId="00364C7F" w14:textId="77777777" w:rsidR="003D39D3" w:rsidRPr="0093425C" w:rsidRDefault="003D39D3" w:rsidP="003D39D3">
      <w:pPr>
        <w:pStyle w:val="FootnoteText"/>
        <w:rPr>
          <w:lang w:val="en-GB"/>
        </w:rPr>
      </w:pPr>
      <w:r>
        <w:rPr>
          <w:rStyle w:val="FootnoteReference"/>
        </w:rPr>
        <w:footnoteRef/>
      </w:r>
      <w:r>
        <w:t xml:space="preserve"> </w:t>
      </w:r>
      <w:hyperlink r:id="rId2" w:history="1">
        <w:r>
          <w:rPr>
            <w:rStyle w:val="Hyperlink"/>
          </w:rPr>
          <w:t>https://ec.europa.eu/eurostat/documents/3859598/9530664/KS-GQ-18-012-EN-N.pdf</w:t>
        </w:r>
      </w:hyperlink>
    </w:p>
  </w:footnote>
  <w:footnote w:id="3">
    <w:p w14:paraId="3391822A" w14:textId="5640DFC6" w:rsidR="00837CD9" w:rsidRDefault="00837CD9" w:rsidP="00837CD9">
      <w:pPr>
        <w:pStyle w:val="FootnoteText"/>
        <w:jc w:val="both"/>
      </w:pPr>
      <w:r w:rsidRPr="0094529B">
        <w:rPr>
          <w:rStyle w:val="FootnoteReference"/>
        </w:rPr>
        <w:footnoteRef/>
      </w:r>
      <w:r w:rsidRPr="0094529B">
        <w:t xml:space="preserve"> </w:t>
      </w:r>
      <w:r w:rsidRPr="0094529B">
        <w:rPr>
          <w:rFonts w:asciiTheme="majorHAnsi" w:hAnsiTheme="majorHAnsi" w:cstheme="majorHAnsi"/>
        </w:rPr>
        <w:t xml:space="preserve">SUT should be updated for the year </w:t>
      </w:r>
      <w:r w:rsidR="00E21A3E" w:rsidRPr="0094529B">
        <w:rPr>
          <w:rFonts w:asciiTheme="majorHAnsi" w:hAnsiTheme="majorHAnsi" w:cstheme="majorHAnsi"/>
        </w:rPr>
        <w:t>t</w:t>
      </w:r>
      <w:r w:rsidRPr="0094529B">
        <w:rPr>
          <w:rFonts w:asciiTheme="majorHAnsi" w:hAnsiTheme="majorHAnsi" w:cstheme="majorHAnsi"/>
        </w:rPr>
        <w:t>-4 (followed in December by the transmission of supp</w:t>
      </w:r>
      <w:r w:rsidR="00E21A3E" w:rsidRPr="0094529B">
        <w:rPr>
          <w:rFonts w:asciiTheme="majorHAnsi" w:hAnsiTheme="majorHAnsi" w:cstheme="majorHAnsi"/>
        </w:rPr>
        <w:t>ly and use tables for the year t</w:t>
      </w:r>
      <w:r w:rsidRPr="0094529B">
        <w:rPr>
          <w:rFonts w:asciiTheme="majorHAnsi" w:hAnsiTheme="majorHAnsi" w:cstheme="majorHAnsi"/>
        </w:rPr>
        <w:t xml:space="preserve">-3, as required by the transmission </w:t>
      </w:r>
      <w:proofErr w:type="spellStart"/>
      <w:r w:rsidRPr="0094529B">
        <w:rPr>
          <w:rFonts w:asciiTheme="majorHAnsi" w:hAnsiTheme="majorHAnsi" w:cstheme="majorHAnsi"/>
        </w:rPr>
        <w:t>programme</w:t>
      </w:r>
      <w:proofErr w:type="spellEnd"/>
      <w:r w:rsidRPr="0094529B">
        <w:rPr>
          <w:rFonts w:asciiTheme="majorHAnsi" w:hAnsiTheme="majorHAnsi" w:cstheme="majorHAnsi"/>
        </w:rPr>
        <w:t xml:space="preserve">) in case of major </w:t>
      </w:r>
      <w:r w:rsidR="00527C09">
        <w:rPr>
          <w:rFonts w:asciiTheme="majorHAnsi" w:hAnsiTheme="majorHAnsi" w:cstheme="majorHAnsi"/>
        </w:rPr>
        <w:t xml:space="preserve">regular </w:t>
      </w:r>
      <w:r w:rsidRPr="0094529B">
        <w:rPr>
          <w:rFonts w:asciiTheme="majorHAnsi" w:hAnsiTheme="majorHAnsi" w:cstheme="majorHAnsi"/>
        </w:rPr>
        <w:t>(benchmark) revisions.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33821" w14:textId="126EC95E" w:rsidR="00130576" w:rsidRPr="00130576" w:rsidRDefault="00130576" w:rsidP="00130576">
    <w:pPr>
      <w:rPr>
        <w:rFonts w:cs="Times New Roman"/>
        <w:b/>
        <w:color w:val="000000"/>
      </w:rPr>
    </w:pPr>
    <w:r w:rsidRPr="00130576">
      <w:rPr>
        <w:rFonts w:cs="Times New Roman"/>
        <w:noProof/>
      </w:rPr>
      <mc:AlternateContent>
        <mc:Choice Requires="wps">
          <w:drawing>
            <wp:anchor distT="45720" distB="45720" distL="114300" distR="114300" simplePos="0" relativeHeight="251656704" behindDoc="0" locked="0" layoutInCell="1" allowOverlap="1" wp14:anchorId="58039D84" wp14:editId="6231253F">
              <wp:simplePos x="0" y="0"/>
              <wp:positionH relativeFrom="column">
                <wp:posOffset>-99695</wp:posOffset>
              </wp:positionH>
              <wp:positionV relativeFrom="paragraph">
                <wp:posOffset>23495</wp:posOffset>
              </wp:positionV>
              <wp:extent cx="1357630" cy="638175"/>
              <wp:effectExtent l="0" t="0" r="0"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630" cy="638175"/>
                      </a:xfrm>
                      <a:prstGeom prst="rect">
                        <a:avLst/>
                      </a:prstGeom>
                      <a:solidFill>
                        <a:srgbClr val="FFFFFF"/>
                      </a:solidFill>
                      <a:ln w="9525">
                        <a:noFill/>
                        <a:miter lim="800000"/>
                        <a:headEnd/>
                        <a:tailEnd/>
                      </a:ln>
                    </wps:spPr>
                    <wps:txbx>
                      <w:txbxContent>
                        <w:p w14:paraId="35B3CA8A" w14:textId="3133067C" w:rsidR="00130576" w:rsidRPr="00027AD1" w:rsidRDefault="00130576" w:rsidP="00130576">
                          <w:pPr>
                            <w:rPr>
                              <w:rFonts w:ascii="Segoe UI" w:hAnsi="Segoe UI" w:cs="Segoe UI"/>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39D84" id="_x0000_t202" coordsize="21600,21600" o:spt="202" path="m,l,21600r21600,l21600,xe">
              <v:stroke joinstyle="miter"/>
              <v:path gradientshapeok="t" o:connecttype="rect"/>
            </v:shapetype>
            <v:shape id="Text Box 7" o:spid="_x0000_s1026" type="#_x0000_t202" style="position:absolute;margin-left:-7.85pt;margin-top:1.85pt;width:106.9pt;height:50.2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" stroked="f">
              <v:textbox>
                <w:txbxContent>
                  <w:p w14:paraId="35B3CA8A" w14:textId="3133067C" w:rsidR="00130576" w:rsidRPr="00027AD1" w:rsidRDefault="00130576" w:rsidP="00130576">
                    <w:pPr>
                      <w:rPr>
                        <w:rFonts w:ascii="Segoe UI" w:hAnsi="Segoe UI" w:cs="Segoe UI"/>
                        <w:sz w:val="1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7A8"/>
    <w:multiLevelType w:val="hybridMultilevel"/>
    <w:tmpl w:val="9C5E542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C380DAC"/>
    <w:multiLevelType w:val="hybridMultilevel"/>
    <w:tmpl w:val="5FE2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51841"/>
    <w:multiLevelType w:val="hybridMultilevel"/>
    <w:tmpl w:val="74EAD26A"/>
    <w:lvl w:ilvl="0" w:tplc="281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7C32AC"/>
    <w:multiLevelType w:val="hybridMultilevel"/>
    <w:tmpl w:val="6C5A5556"/>
    <w:lvl w:ilvl="0" w:tplc="27F8B34C">
      <w:start w:val="1"/>
      <w:numFmt w:val="bullet"/>
      <w:lvlText w:val="-"/>
      <w:lvlJc w:val="left"/>
      <w:pPr>
        <w:ind w:left="720" w:hanging="360"/>
      </w:pPr>
      <w:rPr>
        <w:rFonts w:ascii="Calibri Light" w:eastAsiaTheme="minorHAnsi" w:hAnsi="Calibri Light" w:cs="Calibri Light"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398F72A6"/>
    <w:multiLevelType w:val="hybridMultilevel"/>
    <w:tmpl w:val="4FF6E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D41A8"/>
    <w:multiLevelType w:val="hybridMultilevel"/>
    <w:tmpl w:val="F3C8D790"/>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432D4D04"/>
    <w:multiLevelType w:val="hybridMultilevel"/>
    <w:tmpl w:val="9C96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12D6A"/>
    <w:multiLevelType w:val="hybridMultilevel"/>
    <w:tmpl w:val="F18C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56116"/>
    <w:multiLevelType w:val="hybridMultilevel"/>
    <w:tmpl w:val="B7E4541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79BD2560"/>
    <w:multiLevelType w:val="hybridMultilevel"/>
    <w:tmpl w:val="FA8097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8"/>
  </w:num>
  <w:num w:numId="12">
    <w:abstractNumId w:val="7"/>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9"/>
  </w:num>
  <w:num w:numId="24">
    <w:abstractNumId w:val="2"/>
  </w:num>
  <w:num w:numId="25">
    <w:abstractNumId w:val="0"/>
  </w:num>
  <w:num w:numId="26">
    <w:abstractNumId w:val="6"/>
  </w:num>
  <w:num w:numId="27">
    <w:abstractNumId w:val="10"/>
  </w:num>
  <w:num w:numId="28">
    <w:abstractNumId w:val="4"/>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775ED"/>
    <w:rsid w:val="00000528"/>
    <w:rsid w:val="00007230"/>
    <w:rsid w:val="00010CA4"/>
    <w:rsid w:val="00021E53"/>
    <w:rsid w:val="00025F24"/>
    <w:rsid w:val="00037125"/>
    <w:rsid w:val="00042F53"/>
    <w:rsid w:val="000441FB"/>
    <w:rsid w:val="000554EA"/>
    <w:rsid w:val="00071B41"/>
    <w:rsid w:val="00073A0D"/>
    <w:rsid w:val="00081798"/>
    <w:rsid w:val="00083342"/>
    <w:rsid w:val="00090F9E"/>
    <w:rsid w:val="000A55B7"/>
    <w:rsid w:val="000B5DC8"/>
    <w:rsid w:val="000F372C"/>
    <w:rsid w:val="000F3C39"/>
    <w:rsid w:val="000F4530"/>
    <w:rsid w:val="00122715"/>
    <w:rsid w:val="0012378E"/>
    <w:rsid w:val="00130576"/>
    <w:rsid w:val="00155D3C"/>
    <w:rsid w:val="00157A27"/>
    <w:rsid w:val="00170EB9"/>
    <w:rsid w:val="00175D4D"/>
    <w:rsid w:val="00184931"/>
    <w:rsid w:val="0018731C"/>
    <w:rsid w:val="001877A3"/>
    <w:rsid w:val="001919E6"/>
    <w:rsid w:val="001922A3"/>
    <w:rsid w:val="001A367C"/>
    <w:rsid w:val="001B7D1B"/>
    <w:rsid w:val="001C06F2"/>
    <w:rsid w:val="001C0912"/>
    <w:rsid w:val="001D2575"/>
    <w:rsid w:val="001E676B"/>
    <w:rsid w:val="001F3FA7"/>
    <w:rsid w:val="00200577"/>
    <w:rsid w:val="00201B26"/>
    <w:rsid w:val="00201E6E"/>
    <w:rsid w:val="002070F4"/>
    <w:rsid w:val="0021296A"/>
    <w:rsid w:val="00216B80"/>
    <w:rsid w:val="00221EAD"/>
    <w:rsid w:val="002267EC"/>
    <w:rsid w:val="00226FA1"/>
    <w:rsid w:val="002274F9"/>
    <w:rsid w:val="0024536E"/>
    <w:rsid w:val="0025789C"/>
    <w:rsid w:val="002610A6"/>
    <w:rsid w:val="00262299"/>
    <w:rsid w:val="00265DBE"/>
    <w:rsid w:val="0026691C"/>
    <w:rsid w:val="002760A4"/>
    <w:rsid w:val="00286904"/>
    <w:rsid w:val="00287B3D"/>
    <w:rsid w:val="00291D13"/>
    <w:rsid w:val="00292F43"/>
    <w:rsid w:val="002A1442"/>
    <w:rsid w:val="002C2204"/>
    <w:rsid w:val="002C3622"/>
    <w:rsid w:val="002C5998"/>
    <w:rsid w:val="002D2CBC"/>
    <w:rsid w:val="002E2F6A"/>
    <w:rsid w:val="002F279A"/>
    <w:rsid w:val="00317412"/>
    <w:rsid w:val="00327A86"/>
    <w:rsid w:val="00336A87"/>
    <w:rsid w:val="00340E24"/>
    <w:rsid w:val="00341FBB"/>
    <w:rsid w:val="0035629F"/>
    <w:rsid w:val="00374D28"/>
    <w:rsid w:val="00381D53"/>
    <w:rsid w:val="00384378"/>
    <w:rsid w:val="00384D19"/>
    <w:rsid w:val="00386E13"/>
    <w:rsid w:val="00392950"/>
    <w:rsid w:val="003933E7"/>
    <w:rsid w:val="003938CC"/>
    <w:rsid w:val="003A2E10"/>
    <w:rsid w:val="003C2890"/>
    <w:rsid w:val="003C6044"/>
    <w:rsid w:val="003D39D3"/>
    <w:rsid w:val="003E2B98"/>
    <w:rsid w:val="003F0F72"/>
    <w:rsid w:val="003F21FF"/>
    <w:rsid w:val="003F4A66"/>
    <w:rsid w:val="003F7652"/>
    <w:rsid w:val="00406F67"/>
    <w:rsid w:val="00410DAF"/>
    <w:rsid w:val="0041466E"/>
    <w:rsid w:val="00414A55"/>
    <w:rsid w:val="004203D1"/>
    <w:rsid w:val="00422833"/>
    <w:rsid w:val="004250A6"/>
    <w:rsid w:val="00427647"/>
    <w:rsid w:val="00432631"/>
    <w:rsid w:val="00446FD9"/>
    <w:rsid w:val="004476DB"/>
    <w:rsid w:val="004560A2"/>
    <w:rsid w:val="0046514C"/>
    <w:rsid w:val="004665EF"/>
    <w:rsid w:val="00473448"/>
    <w:rsid w:val="004757AF"/>
    <w:rsid w:val="0048061E"/>
    <w:rsid w:val="00481622"/>
    <w:rsid w:val="00483167"/>
    <w:rsid w:val="00491F77"/>
    <w:rsid w:val="004C0C8C"/>
    <w:rsid w:val="004C72AB"/>
    <w:rsid w:val="004C7E82"/>
    <w:rsid w:val="004D2BC6"/>
    <w:rsid w:val="004D76BE"/>
    <w:rsid w:val="004E6658"/>
    <w:rsid w:val="00500157"/>
    <w:rsid w:val="00527C09"/>
    <w:rsid w:val="00540D86"/>
    <w:rsid w:val="00547B7F"/>
    <w:rsid w:val="00551F58"/>
    <w:rsid w:val="00552D4A"/>
    <w:rsid w:val="0056196E"/>
    <w:rsid w:val="00567E51"/>
    <w:rsid w:val="00570E76"/>
    <w:rsid w:val="00573FC0"/>
    <w:rsid w:val="00587E16"/>
    <w:rsid w:val="005A4D84"/>
    <w:rsid w:val="005C0E7F"/>
    <w:rsid w:val="005C7787"/>
    <w:rsid w:val="005D2C2B"/>
    <w:rsid w:val="005D5368"/>
    <w:rsid w:val="005D7564"/>
    <w:rsid w:val="005E26A2"/>
    <w:rsid w:val="005E6278"/>
    <w:rsid w:val="00605A62"/>
    <w:rsid w:val="00616142"/>
    <w:rsid w:val="0062037F"/>
    <w:rsid w:val="00633DCF"/>
    <w:rsid w:val="00635494"/>
    <w:rsid w:val="0064186D"/>
    <w:rsid w:val="006538A5"/>
    <w:rsid w:val="006629AC"/>
    <w:rsid w:val="00664F64"/>
    <w:rsid w:val="006720AC"/>
    <w:rsid w:val="00686F18"/>
    <w:rsid w:val="0069209E"/>
    <w:rsid w:val="006A405B"/>
    <w:rsid w:val="006C7FCB"/>
    <w:rsid w:val="006D03A3"/>
    <w:rsid w:val="006D1DB3"/>
    <w:rsid w:val="006E16E0"/>
    <w:rsid w:val="006E289C"/>
    <w:rsid w:val="006E4EE2"/>
    <w:rsid w:val="006F4250"/>
    <w:rsid w:val="00700BBA"/>
    <w:rsid w:val="00715AAD"/>
    <w:rsid w:val="00720FCE"/>
    <w:rsid w:val="00726F7D"/>
    <w:rsid w:val="007274A5"/>
    <w:rsid w:val="007312E5"/>
    <w:rsid w:val="007336DB"/>
    <w:rsid w:val="00744AE3"/>
    <w:rsid w:val="00746D4F"/>
    <w:rsid w:val="0075082B"/>
    <w:rsid w:val="007718A7"/>
    <w:rsid w:val="0078757D"/>
    <w:rsid w:val="007901EE"/>
    <w:rsid w:val="0079601F"/>
    <w:rsid w:val="007A2997"/>
    <w:rsid w:val="007A72A1"/>
    <w:rsid w:val="007B0F00"/>
    <w:rsid w:val="007B6A0C"/>
    <w:rsid w:val="007C6785"/>
    <w:rsid w:val="007E1F25"/>
    <w:rsid w:val="007E4528"/>
    <w:rsid w:val="007F211A"/>
    <w:rsid w:val="00814079"/>
    <w:rsid w:val="00820C1C"/>
    <w:rsid w:val="00822E12"/>
    <w:rsid w:val="008267EE"/>
    <w:rsid w:val="0082768F"/>
    <w:rsid w:val="00831D74"/>
    <w:rsid w:val="00837CD9"/>
    <w:rsid w:val="00846B13"/>
    <w:rsid w:val="008474F3"/>
    <w:rsid w:val="0085300F"/>
    <w:rsid w:val="00856101"/>
    <w:rsid w:val="00863DC6"/>
    <w:rsid w:val="008664D4"/>
    <w:rsid w:val="008733A0"/>
    <w:rsid w:val="00875A21"/>
    <w:rsid w:val="008775ED"/>
    <w:rsid w:val="00880E03"/>
    <w:rsid w:val="0089749C"/>
    <w:rsid w:val="008A12E3"/>
    <w:rsid w:val="008A3384"/>
    <w:rsid w:val="008A4367"/>
    <w:rsid w:val="008B5FC4"/>
    <w:rsid w:val="008D1833"/>
    <w:rsid w:val="008D3F3B"/>
    <w:rsid w:val="008D70B2"/>
    <w:rsid w:val="008E41C5"/>
    <w:rsid w:val="00906365"/>
    <w:rsid w:val="00915106"/>
    <w:rsid w:val="00921B49"/>
    <w:rsid w:val="00926D17"/>
    <w:rsid w:val="0093531F"/>
    <w:rsid w:val="009368FE"/>
    <w:rsid w:val="00940441"/>
    <w:rsid w:val="0094529B"/>
    <w:rsid w:val="00950549"/>
    <w:rsid w:val="00963341"/>
    <w:rsid w:val="009674B3"/>
    <w:rsid w:val="0097362F"/>
    <w:rsid w:val="00996924"/>
    <w:rsid w:val="009A46B3"/>
    <w:rsid w:val="009B0832"/>
    <w:rsid w:val="009B4CFC"/>
    <w:rsid w:val="009B75D6"/>
    <w:rsid w:val="009D1720"/>
    <w:rsid w:val="009E19F8"/>
    <w:rsid w:val="009E24E1"/>
    <w:rsid w:val="009F7AA4"/>
    <w:rsid w:val="00A01C05"/>
    <w:rsid w:val="00A01E27"/>
    <w:rsid w:val="00A24241"/>
    <w:rsid w:val="00A40A9D"/>
    <w:rsid w:val="00A423A8"/>
    <w:rsid w:val="00A459AE"/>
    <w:rsid w:val="00A56B67"/>
    <w:rsid w:val="00A60204"/>
    <w:rsid w:val="00A747A9"/>
    <w:rsid w:val="00A8003B"/>
    <w:rsid w:val="00A83CF1"/>
    <w:rsid w:val="00A85D27"/>
    <w:rsid w:val="00A8721A"/>
    <w:rsid w:val="00AA2301"/>
    <w:rsid w:val="00AA5DDE"/>
    <w:rsid w:val="00AB1172"/>
    <w:rsid w:val="00AB12DE"/>
    <w:rsid w:val="00AB14B5"/>
    <w:rsid w:val="00AB1DBB"/>
    <w:rsid w:val="00AC0B75"/>
    <w:rsid w:val="00AC1D27"/>
    <w:rsid w:val="00AC3AC1"/>
    <w:rsid w:val="00AD33CF"/>
    <w:rsid w:val="00AF0E2A"/>
    <w:rsid w:val="00AF4C94"/>
    <w:rsid w:val="00AF5F55"/>
    <w:rsid w:val="00AF676D"/>
    <w:rsid w:val="00B07F19"/>
    <w:rsid w:val="00B13CC8"/>
    <w:rsid w:val="00B14BE7"/>
    <w:rsid w:val="00B20D75"/>
    <w:rsid w:val="00B20F51"/>
    <w:rsid w:val="00B26C45"/>
    <w:rsid w:val="00B305FC"/>
    <w:rsid w:val="00B330F2"/>
    <w:rsid w:val="00B33512"/>
    <w:rsid w:val="00B33DEF"/>
    <w:rsid w:val="00B4367A"/>
    <w:rsid w:val="00B50CAE"/>
    <w:rsid w:val="00B61266"/>
    <w:rsid w:val="00B63618"/>
    <w:rsid w:val="00B636D4"/>
    <w:rsid w:val="00B6656F"/>
    <w:rsid w:val="00B746EB"/>
    <w:rsid w:val="00B87898"/>
    <w:rsid w:val="00B901D1"/>
    <w:rsid w:val="00BA1E9F"/>
    <w:rsid w:val="00BA40CE"/>
    <w:rsid w:val="00BA4670"/>
    <w:rsid w:val="00BA553B"/>
    <w:rsid w:val="00BD3635"/>
    <w:rsid w:val="00BE2573"/>
    <w:rsid w:val="00BE34BF"/>
    <w:rsid w:val="00BE4056"/>
    <w:rsid w:val="00BE4A31"/>
    <w:rsid w:val="00BE6C0A"/>
    <w:rsid w:val="00BF0746"/>
    <w:rsid w:val="00BF3882"/>
    <w:rsid w:val="00BF4D06"/>
    <w:rsid w:val="00BF6054"/>
    <w:rsid w:val="00C020A1"/>
    <w:rsid w:val="00C073E2"/>
    <w:rsid w:val="00C26B86"/>
    <w:rsid w:val="00C453A0"/>
    <w:rsid w:val="00C54390"/>
    <w:rsid w:val="00C72244"/>
    <w:rsid w:val="00C84F92"/>
    <w:rsid w:val="00C85F91"/>
    <w:rsid w:val="00C925C3"/>
    <w:rsid w:val="00CA16E9"/>
    <w:rsid w:val="00CD3DBB"/>
    <w:rsid w:val="00CF2375"/>
    <w:rsid w:val="00CF7988"/>
    <w:rsid w:val="00D06974"/>
    <w:rsid w:val="00D116C5"/>
    <w:rsid w:val="00D24714"/>
    <w:rsid w:val="00D35D21"/>
    <w:rsid w:val="00D46008"/>
    <w:rsid w:val="00D47963"/>
    <w:rsid w:val="00D60464"/>
    <w:rsid w:val="00D620D8"/>
    <w:rsid w:val="00D678AA"/>
    <w:rsid w:val="00D77D8E"/>
    <w:rsid w:val="00D87B8F"/>
    <w:rsid w:val="00D93143"/>
    <w:rsid w:val="00D968F1"/>
    <w:rsid w:val="00DA253B"/>
    <w:rsid w:val="00DB37C4"/>
    <w:rsid w:val="00DC73AB"/>
    <w:rsid w:val="00DD0BF2"/>
    <w:rsid w:val="00DD29F2"/>
    <w:rsid w:val="00DD5EE3"/>
    <w:rsid w:val="00DF2C10"/>
    <w:rsid w:val="00E0067E"/>
    <w:rsid w:val="00E1558D"/>
    <w:rsid w:val="00E21A3E"/>
    <w:rsid w:val="00E2711D"/>
    <w:rsid w:val="00E30495"/>
    <w:rsid w:val="00E3064E"/>
    <w:rsid w:val="00E31115"/>
    <w:rsid w:val="00E339F2"/>
    <w:rsid w:val="00E36CA9"/>
    <w:rsid w:val="00E471CC"/>
    <w:rsid w:val="00E518AC"/>
    <w:rsid w:val="00E653AE"/>
    <w:rsid w:val="00E65686"/>
    <w:rsid w:val="00E670B5"/>
    <w:rsid w:val="00E752FB"/>
    <w:rsid w:val="00E97828"/>
    <w:rsid w:val="00EC1C68"/>
    <w:rsid w:val="00EC2D37"/>
    <w:rsid w:val="00EC3250"/>
    <w:rsid w:val="00ED16B9"/>
    <w:rsid w:val="00ED62E6"/>
    <w:rsid w:val="00ED6625"/>
    <w:rsid w:val="00EF71F8"/>
    <w:rsid w:val="00F07256"/>
    <w:rsid w:val="00F130B4"/>
    <w:rsid w:val="00F377BD"/>
    <w:rsid w:val="00F40A57"/>
    <w:rsid w:val="00F40BD1"/>
    <w:rsid w:val="00F44CF3"/>
    <w:rsid w:val="00F53345"/>
    <w:rsid w:val="00F705C1"/>
    <w:rsid w:val="00F848A6"/>
    <w:rsid w:val="00F85776"/>
    <w:rsid w:val="00F94A72"/>
    <w:rsid w:val="00F97447"/>
    <w:rsid w:val="00FA0D05"/>
    <w:rsid w:val="00FA1A1D"/>
    <w:rsid w:val="00FA5BA2"/>
    <w:rsid w:val="00FB65B7"/>
    <w:rsid w:val="00FC61B6"/>
    <w:rsid w:val="00FC7431"/>
    <w:rsid w:val="00FD2D01"/>
    <w:rsid w:val="00FD623F"/>
    <w:rsid w:val="00FE4631"/>
    <w:rsid w:val="00FE55C7"/>
    <w:rsid w:val="00FF34B5"/>
    <w:rsid w:val="00FF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5803C"/>
  <w15:docId w15:val="{7979AD37-B8C9-447E-981C-70B2FC18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75"/>
  </w:style>
  <w:style w:type="paragraph" w:styleId="Heading1">
    <w:name w:val="heading 1"/>
    <w:basedOn w:val="Normal"/>
    <w:next w:val="Normal"/>
    <w:link w:val="Heading1Char"/>
    <w:uiPriority w:val="9"/>
    <w:qFormat/>
    <w:rsid w:val="008775ED"/>
    <w:pPr>
      <w:keepNext/>
      <w:keepLines/>
      <w:numPr>
        <w:numId w:val="2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8775ED"/>
    <w:pPr>
      <w:keepNext/>
      <w:keepLines/>
      <w:numPr>
        <w:ilvl w:val="1"/>
        <w:numId w:val="2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8775ED"/>
    <w:pPr>
      <w:keepNext/>
      <w:keepLines/>
      <w:numPr>
        <w:ilvl w:val="2"/>
        <w:numId w:val="2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8775ED"/>
    <w:pPr>
      <w:keepNext/>
      <w:keepLines/>
      <w:numPr>
        <w:ilvl w:val="3"/>
        <w:numId w:val="2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8775ED"/>
    <w:pPr>
      <w:keepNext/>
      <w:keepLines/>
      <w:numPr>
        <w:ilvl w:val="4"/>
        <w:numId w:val="2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8775ED"/>
    <w:pPr>
      <w:keepNext/>
      <w:keepLines/>
      <w:numPr>
        <w:ilvl w:val="5"/>
        <w:numId w:val="2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8775ED"/>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75ED"/>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75ED"/>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5E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8775ED"/>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8775E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8775E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8775ED"/>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8775ED"/>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8775E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75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75E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775E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775E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8775E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8775E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8775ED"/>
    <w:rPr>
      <w:color w:val="5A5A5A" w:themeColor="text1" w:themeTint="A5"/>
      <w:spacing w:val="10"/>
    </w:rPr>
  </w:style>
  <w:style w:type="character" w:styleId="Strong">
    <w:name w:val="Strong"/>
    <w:basedOn w:val="DefaultParagraphFont"/>
    <w:uiPriority w:val="22"/>
    <w:qFormat/>
    <w:rsid w:val="008775ED"/>
    <w:rPr>
      <w:b/>
      <w:bCs/>
      <w:color w:val="000000" w:themeColor="text1"/>
    </w:rPr>
  </w:style>
  <w:style w:type="character" w:styleId="Emphasis">
    <w:name w:val="Emphasis"/>
    <w:basedOn w:val="DefaultParagraphFont"/>
    <w:uiPriority w:val="20"/>
    <w:qFormat/>
    <w:rsid w:val="008775ED"/>
    <w:rPr>
      <w:i/>
      <w:iCs/>
      <w:color w:val="auto"/>
    </w:rPr>
  </w:style>
  <w:style w:type="paragraph" w:styleId="NoSpacing">
    <w:name w:val="No Spacing"/>
    <w:uiPriority w:val="1"/>
    <w:qFormat/>
    <w:rsid w:val="008775ED"/>
    <w:pPr>
      <w:spacing w:after="0" w:line="240" w:lineRule="auto"/>
    </w:pPr>
  </w:style>
  <w:style w:type="paragraph" w:styleId="Quote">
    <w:name w:val="Quote"/>
    <w:basedOn w:val="Normal"/>
    <w:next w:val="Normal"/>
    <w:link w:val="QuoteChar"/>
    <w:uiPriority w:val="29"/>
    <w:qFormat/>
    <w:rsid w:val="008775ED"/>
    <w:pPr>
      <w:spacing w:before="160"/>
      <w:ind w:left="720" w:right="720"/>
    </w:pPr>
    <w:rPr>
      <w:i/>
      <w:iCs/>
      <w:color w:val="000000" w:themeColor="text1"/>
    </w:rPr>
  </w:style>
  <w:style w:type="character" w:customStyle="1" w:styleId="QuoteChar">
    <w:name w:val="Quote Char"/>
    <w:basedOn w:val="DefaultParagraphFont"/>
    <w:link w:val="Quote"/>
    <w:uiPriority w:val="29"/>
    <w:rsid w:val="008775ED"/>
    <w:rPr>
      <w:i/>
      <w:iCs/>
      <w:color w:val="000000" w:themeColor="text1"/>
    </w:rPr>
  </w:style>
  <w:style w:type="paragraph" w:styleId="IntenseQuote">
    <w:name w:val="Intense Quote"/>
    <w:basedOn w:val="Normal"/>
    <w:next w:val="Normal"/>
    <w:link w:val="IntenseQuoteChar"/>
    <w:uiPriority w:val="30"/>
    <w:qFormat/>
    <w:rsid w:val="008775E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8775ED"/>
    <w:rPr>
      <w:color w:val="000000" w:themeColor="text1"/>
      <w:shd w:val="clear" w:color="auto" w:fill="F2F2F2" w:themeFill="background1" w:themeFillShade="F2"/>
    </w:rPr>
  </w:style>
  <w:style w:type="character" w:styleId="SubtleEmphasis">
    <w:name w:val="Subtle Emphasis"/>
    <w:basedOn w:val="DefaultParagraphFont"/>
    <w:uiPriority w:val="19"/>
    <w:qFormat/>
    <w:rsid w:val="008775ED"/>
    <w:rPr>
      <w:i/>
      <w:iCs/>
      <w:color w:val="404040" w:themeColor="text1" w:themeTint="BF"/>
    </w:rPr>
  </w:style>
  <w:style w:type="character" w:styleId="IntenseEmphasis">
    <w:name w:val="Intense Emphasis"/>
    <w:basedOn w:val="DefaultParagraphFont"/>
    <w:uiPriority w:val="21"/>
    <w:qFormat/>
    <w:rsid w:val="008775ED"/>
    <w:rPr>
      <w:b/>
      <w:bCs/>
      <w:i/>
      <w:iCs/>
      <w:caps/>
    </w:rPr>
  </w:style>
  <w:style w:type="character" w:styleId="SubtleReference">
    <w:name w:val="Subtle Reference"/>
    <w:basedOn w:val="DefaultParagraphFont"/>
    <w:uiPriority w:val="31"/>
    <w:qFormat/>
    <w:rsid w:val="008775E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775ED"/>
    <w:rPr>
      <w:b/>
      <w:bCs/>
      <w:smallCaps/>
      <w:u w:val="single"/>
    </w:rPr>
  </w:style>
  <w:style w:type="character" w:styleId="BookTitle">
    <w:name w:val="Book Title"/>
    <w:basedOn w:val="DefaultParagraphFont"/>
    <w:uiPriority w:val="33"/>
    <w:qFormat/>
    <w:rsid w:val="008775ED"/>
    <w:rPr>
      <w:b w:val="0"/>
      <w:bCs w:val="0"/>
      <w:smallCaps/>
      <w:spacing w:val="5"/>
    </w:rPr>
  </w:style>
  <w:style w:type="paragraph" w:styleId="TOCHeading">
    <w:name w:val="TOC Heading"/>
    <w:basedOn w:val="Heading1"/>
    <w:next w:val="Normal"/>
    <w:uiPriority w:val="39"/>
    <w:unhideWhenUsed/>
    <w:qFormat/>
    <w:rsid w:val="008775ED"/>
    <w:pPr>
      <w:outlineLvl w:val="9"/>
    </w:pPr>
  </w:style>
  <w:style w:type="paragraph" w:styleId="FootnoteText">
    <w:name w:val="footnote text"/>
    <w:basedOn w:val="Normal"/>
    <w:link w:val="FootnoteTextChar"/>
    <w:uiPriority w:val="99"/>
    <w:semiHidden/>
    <w:unhideWhenUsed/>
    <w:rsid w:val="008775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5ED"/>
    <w:rPr>
      <w:sz w:val="20"/>
      <w:szCs w:val="20"/>
    </w:rPr>
  </w:style>
  <w:style w:type="table" w:styleId="TableGrid">
    <w:name w:val="Table Grid"/>
    <w:basedOn w:val="TableNormal"/>
    <w:uiPriority w:val="39"/>
    <w:rsid w:val="008775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775ED"/>
    <w:rPr>
      <w:vertAlign w:val="superscript"/>
    </w:rPr>
  </w:style>
  <w:style w:type="character" w:styleId="Hyperlink">
    <w:name w:val="Hyperlink"/>
    <w:basedOn w:val="DefaultParagraphFont"/>
    <w:uiPriority w:val="99"/>
    <w:unhideWhenUsed/>
    <w:rsid w:val="008775ED"/>
    <w:rPr>
      <w:color w:val="0000FF"/>
      <w:u w:val="single"/>
    </w:rPr>
  </w:style>
  <w:style w:type="table" w:customStyle="1" w:styleId="TableGrid1">
    <w:name w:val="Table Grid1"/>
    <w:basedOn w:val="TableNormal"/>
    <w:next w:val="TableGrid"/>
    <w:uiPriority w:val="39"/>
    <w:rsid w:val="008775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775E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ED"/>
    <w:rPr>
      <w:rFonts w:ascii="Segoe UI" w:hAnsi="Segoe UI" w:cs="Segoe UI"/>
      <w:sz w:val="18"/>
      <w:szCs w:val="18"/>
    </w:rPr>
  </w:style>
  <w:style w:type="paragraph" w:styleId="ListParagraph">
    <w:name w:val="List Paragraph"/>
    <w:basedOn w:val="Normal"/>
    <w:qFormat/>
    <w:rsid w:val="008775ED"/>
    <w:pPr>
      <w:ind w:left="720"/>
      <w:contextualSpacing/>
    </w:pPr>
    <w:rPr>
      <w:rFonts w:eastAsiaTheme="minorHAnsi"/>
    </w:rPr>
  </w:style>
  <w:style w:type="paragraph" w:styleId="TOC1">
    <w:name w:val="toc 1"/>
    <w:basedOn w:val="Normal"/>
    <w:next w:val="Normal"/>
    <w:autoRedefine/>
    <w:uiPriority w:val="39"/>
    <w:unhideWhenUsed/>
    <w:rsid w:val="006A405B"/>
    <w:pPr>
      <w:tabs>
        <w:tab w:val="left" w:pos="440"/>
        <w:tab w:val="right" w:leader="dot" w:pos="9350"/>
      </w:tabs>
      <w:spacing w:after="100"/>
    </w:pPr>
  </w:style>
  <w:style w:type="paragraph" w:styleId="TOC2">
    <w:name w:val="toc 2"/>
    <w:basedOn w:val="Normal"/>
    <w:next w:val="Normal"/>
    <w:autoRedefine/>
    <w:uiPriority w:val="39"/>
    <w:unhideWhenUsed/>
    <w:rsid w:val="008775ED"/>
    <w:pPr>
      <w:spacing w:after="100"/>
      <w:ind w:left="220"/>
    </w:pPr>
  </w:style>
  <w:style w:type="character" w:styleId="FollowedHyperlink">
    <w:name w:val="FollowedHyperlink"/>
    <w:basedOn w:val="DefaultParagraphFont"/>
    <w:uiPriority w:val="99"/>
    <w:semiHidden/>
    <w:unhideWhenUsed/>
    <w:rsid w:val="00C54390"/>
    <w:rPr>
      <w:color w:val="954F72" w:themeColor="followedHyperlink"/>
      <w:u w:val="single"/>
    </w:rPr>
  </w:style>
  <w:style w:type="paragraph" w:styleId="Header">
    <w:name w:val="header"/>
    <w:basedOn w:val="Normal"/>
    <w:link w:val="HeaderChar"/>
    <w:uiPriority w:val="99"/>
    <w:unhideWhenUsed/>
    <w:rsid w:val="00447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6DB"/>
  </w:style>
  <w:style w:type="paragraph" w:styleId="Footer">
    <w:name w:val="footer"/>
    <w:basedOn w:val="Normal"/>
    <w:link w:val="FooterChar"/>
    <w:uiPriority w:val="99"/>
    <w:unhideWhenUsed/>
    <w:rsid w:val="004476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6DB"/>
  </w:style>
  <w:style w:type="character" w:styleId="CommentReference">
    <w:name w:val="annotation reference"/>
    <w:basedOn w:val="DefaultParagraphFont"/>
    <w:uiPriority w:val="99"/>
    <w:semiHidden/>
    <w:unhideWhenUsed/>
    <w:rsid w:val="00B20F51"/>
    <w:rPr>
      <w:sz w:val="16"/>
      <w:szCs w:val="16"/>
    </w:rPr>
  </w:style>
  <w:style w:type="paragraph" w:styleId="CommentText">
    <w:name w:val="annotation text"/>
    <w:basedOn w:val="Normal"/>
    <w:link w:val="CommentTextChar"/>
    <w:uiPriority w:val="99"/>
    <w:unhideWhenUsed/>
    <w:rsid w:val="00B20F51"/>
    <w:pPr>
      <w:spacing w:line="240" w:lineRule="auto"/>
    </w:pPr>
    <w:rPr>
      <w:sz w:val="20"/>
      <w:szCs w:val="20"/>
    </w:rPr>
  </w:style>
  <w:style w:type="character" w:customStyle="1" w:styleId="CommentTextChar">
    <w:name w:val="Comment Text Char"/>
    <w:basedOn w:val="DefaultParagraphFont"/>
    <w:link w:val="CommentText"/>
    <w:uiPriority w:val="99"/>
    <w:rsid w:val="00B20F51"/>
    <w:rPr>
      <w:sz w:val="20"/>
      <w:szCs w:val="20"/>
    </w:rPr>
  </w:style>
  <w:style w:type="paragraph" w:styleId="CommentSubject">
    <w:name w:val="annotation subject"/>
    <w:basedOn w:val="CommentText"/>
    <w:next w:val="CommentText"/>
    <w:link w:val="CommentSubjectChar"/>
    <w:uiPriority w:val="99"/>
    <w:semiHidden/>
    <w:unhideWhenUsed/>
    <w:rsid w:val="00B20F51"/>
    <w:rPr>
      <w:b/>
      <w:bCs/>
    </w:rPr>
  </w:style>
  <w:style w:type="character" w:customStyle="1" w:styleId="CommentSubjectChar">
    <w:name w:val="Comment Subject Char"/>
    <w:basedOn w:val="CommentTextChar"/>
    <w:link w:val="CommentSubject"/>
    <w:uiPriority w:val="99"/>
    <w:semiHidden/>
    <w:rsid w:val="00B20F51"/>
    <w:rPr>
      <w:b/>
      <w:bCs/>
      <w:sz w:val="20"/>
      <w:szCs w:val="20"/>
    </w:rPr>
  </w:style>
  <w:style w:type="paragraph" w:styleId="Revision">
    <w:name w:val="Revision"/>
    <w:hidden/>
    <w:uiPriority w:val="99"/>
    <w:semiHidden/>
    <w:rsid w:val="00073A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gov.rs/en-us/calend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stat.gov.rs/media/2332/general-revision-policy.docx"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eurostat/documents/3859598/9530664/KS-GQ-18-012-EN-N.pdf" TargetMode="External"/><Relationship Id="rId1" Type="http://schemas.openxmlformats.org/officeDocument/2006/relationships/hyperlink" Target="https://www.cmfb.org/main-topics/revis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4C29F-3689-47B3-B7DC-66780E37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PALIBRK Marijana (ESTAT)</dc:creator>
  <cp:keywords/>
  <dc:description/>
  <cp:lastModifiedBy>Danijela Dabetic</cp:lastModifiedBy>
  <cp:revision>45</cp:revision>
  <cp:lastPrinted>2022-11-24T11:50:00Z</cp:lastPrinted>
  <dcterms:created xsi:type="dcterms:W3CDTF">2023-08-01T12:50:00Z</dcterms:created>
  <dcterms:modified xsi:type="dcterms:W3CDTF">2023-08-23T08:33:00Z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35b0477e5796ea364bcb2e3f4917dd5eca674d6d5715ce809608ce90e097d51f</vt:lpwstr>
  </property>
  <property fmtid="{D5CDD505-2E9C-101B-9397-08002B2CF9AE}" pid="3" name="MSIP_Label_6bd9ddd1-4d20-43f6-abfa-fc3c07406f94_Enabled">
    <vt:lpwstr>true</vt:lpwstr>
  </property>
  <property fmtid="{D5CDD505-2E9C-101B-9397-08002B2CF9AE}" pid="4" name="MSIP_Label_6bd9ddd1-4d20-43f6-abfa-fc3c07406f94_SetDate">
    <vt:lpwstr>2023-07-13T08:13:33Z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aad0a429-26f8-4798-b934-102168bdfab9</vt:lpwstr>
  </property>
  <property fmtid="{D5CDD505-2E9C-101B-9397-08002B2CF9AE}" pid="9" name="MSIP_Label_6bd9ddd1-4d20-43f6-abfa-fc3c07406f94_ContentBits">
    <vt:lpwstr>0</vt:lpwstr>
  </property>
</Properties>
</file>