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6E9" w:rsidRPr="00B419F6" w:rsidRDefault="00CA16E9" w:rsidP="00C72244">
      <w:pPr>
        <w:pStyle w:val="Title"/>
        <w:rPr>
          <w:rFonts w:eastAsiaTheme="minorHAnsi" w:cstheme="majorHAnsi"/>
          <w:lang w:val="sr-Cyrl-RS"/>
        </w:rPr>
      </w:pPr>
    </w:p>
    <w:p w:rsidR="00441D3C" w:rsidRPr="006C7B09" w:rsidRDefault="00441D3C" w:rsidP="00441D3C">
      <w:pPr>
        <w:rPr>
          <w:rFonts w:asciiTheme="majorHAnsi" w:hAnsiTheme="majorHAnsi" w:cstheme="majorHAnsi"/>
        </w:rPr>
      </w:pPr>
    </w:p>
    <w:p w:rsidR="00441D3C" w:rsidRPr="006C7B09" w:rsidRDefault="00441D3C" w:rsidP="00441D3C">
      <w:pPr>
        <w:rPr>
          <w:rFonts w:asciiTheme="majorHAnsi" w:hAnsiTheme="majorHAnsi" w:cstheme="majorHAnsi"/>
        </w:rPr>
      </w:pPr>
    </w:p>
    <w:p w:rsidR="00441D3C" w:rsidRPr="0010741C" w:rsidRDefault="00441D3C" w:rsidP="00441D3C">
      <w:pPr>
        <w:rPr>
          <w:rFonts w:asciiTheme="majorHAnsi" w:hAnsiTheme="majorHAnsi" w:cstheme="majorHAnsi"/>
          <w:lang w:val="sr-Latn-RS"/>
        </w:rPr>
      </w:pPr>
    </w:p>
    <w:p w:rsidR="00441D3C" w:rsidRPr="006C7B09" w:rsidRDefault="00441D3C" w:rsidP="00441D3C">
      <w:pPr>
        <w:rPr>
          <w:rFonts w:asciiTheme="majorHAnsi" w:hAnsiTheme="majorHAnsi" w:cstheme="majorHAnsi"/>
        </w:rPr>
      </w:pPr>
    </w:p>
    <w:p w:rsidR="00441D3C" w:rsidRPr="006C7B09" w:rsidRDefault="00441D3C" w:rsidP="00441D3C">
      <w:pPr>
        <w:rPr>
          <w:rFonts w:asciiTheme="majorHAnsi" w:hAnsiTheme="majorHAnsi" w:cstheme="majorHAnsi"/>
        </w:rPr>
      </w:pPr>
    </w:p>
    <w:p w:rsidR="00CA16E9" w:rsidRPr="006C7B09" w:rsidRDefault="00CA16E9" w:rsidP="00C72244">
      <w:pPr>
        <w:pStyle w:val="Title"/>
        <w:rPr>
          <w:rFonts w:eastAsiaTheme="minorHAnsi" w:cstheme="majorHAnsi"/>
        </w:rPr>
      </w:pPr>
    </w:p>
    <w:p w:rsidR="00CA16E9" w:rsidRPr="006C7B09" w:rsidRDefault="00CA16E9" w:rsidP="00C72244">
      <w:pPr>
        <w:pStyle w:val="Title"/>
        <w:rPr>
          <w:rFonts w:eastAsiaTheme="minorHAnsi" w:cstheme="majorHAnsi"/>
        </w:rPr>
      </w:pPr>
    </w:p>
    <w:p w:rsidR="00CA16E9" w:rsidRPr="006C7B09" w:rsidRDefault="00CA16E9" w:rsidP="00C72244">
      <w:pPr>
        <w:pStyle w:val="Title"/>
        <w:rPr>
          <w:rFonts w:eastAsiaTheme="minorHAnsi" w:cstheme="majorHAnsi"/>
        </w:rPr>
      </w:pPr>
    </w:p>
    <w:p w:rsidR="00341C68" w:rsidRPr="006C7B09" w:rsidRDefault="006F1BE2" w:rsidP="00286904">
      <w:pPr>
        <w:pStyle w:val="Title"/>
        <w:jc w:val="center"/>
        <w:rPr>
          <w:rFonts w:eastAsiaTheme="minorHAnsi" w:cstheme="majorHAnsi"/>
          <w:lang w:val="sr-Cyrl-RS"/>
        </w:rPr>
      </w:pPr>
      <w:r w:rsidRPr="006C7B09">
        <w:rPr>
          <w:rFonts w:eastAsiaTheme="minorHAnsi" w:cstheme="majorHAnsi"/>
          <w:lang w:val="sr-Cyrl-RS"/>
        </w:rPr>
        <w:t xml:space="preserve">Политика ревизије </w:t>
      </w:r>
    </w:p>
    <w:p w:rsidR="00341C68" w:rsidRPr="006C7B09" w:rsidRDefault="00341C68" w:rsidP="00286904">
      <w:pPr>
        <w:pStyle w:val="Title"/>
        <w:jc w:val="center"/>
        <w:rPr>
          <w:rFonts w:eastAsiaTheme="minorHAnsi" w:cstheme="majorHAnsi"/>
          <w:lang w:val="sr-Cyrl-RS"/>
        </w:rPr>
      </w:pPr>
      <w:r w:rsidRPr="006C7B09">
        <w:rPr>
          <w:rFonts w:eastAsiaTheme="minorHAnsi" w:cstheme="majorHAnsi"/>
          <w:lang w:val="sr-Cyrl-RS"/>
        </w:rPr>
        <w:t>националних рачуна</w:t>
      </w:r>
    </w:p>
    <w:p w:rsidR="00C72244" w:rsidRPr="006C7B09" w:rsidRDefault="006F1BE2" w:rsidP="00286904">
      <w:pPr>
        <w:pStyle w:val="Title"/>
        <w:jc w:val="center"/>
        <w:rPr>
          <w:rFonts w:eastAsiaTheme="minorHAnsi" w:cstheme="majorHAnsi"/>
        </w:rPr>
      </w:pPr>
      <w:r w:rsidRPr="006C7B09">
        <w:rPr>
          <w:rFonts w:eastAsiaTheme="minorHAnsi" w:cstheme="majorHAnsi"/>
          <w:lang w:val="sr-Cyrl-RS"/>
        </w:rPr>
        <w:t>Републичког завода за статистику</w:t>
      </w:r>
    </w:p>
    <w:p w:rsidR="008775ED" w:rsidRPr="006C7B09" w:rsidRDefault="008775ED" w:rsidP="004476DB">
      <w:pPr>
        <w:rPr>
          <w:rFonts w:asciiTheme="majorHAnsi" w:eastAsiaTheme="minorHAnsi" w:hAnsiTheme="majorHAnsi" w:cstheme="majorHAnsi"/>
        </w:rPr>
      </w:pPr>
    </w:p>
    <w:p w:rsidR="004476DB" w:rsidRPr="006C7B09" w:rsidRDefault="004476DB" w:rsidP="004476DB">
      <w:pPr>
        <w:rPr>
          <w:rFonts w:asciiTheme="majorHAnsi" w:eastAsiaTheme="minorHAnsi" w:hAnsiTheme="majorHAnsi" w:cstheme="majorHAnsi"/>
        </w:rPr>
      </w:pPr>
    </w:p>
    <w:p w:rsidR="004476DB" w:rsidRPr="006C7B09" w:rsidRDefault="004476DB" w:rsidP="004476DB">
      <w:pPr>
        <w:rPr>
          <w:rFonts w:asciiTheme="majorHAnsi" w:eastAsiaTheme="minorHAnsi" w:hAnsiTheme="majorHAnsi" w:cstheme="majorHAnsi"/>
        </w:rPr>
      </w:pPr>
    </w:p>
    <w:p w:rsidR="004476DB" w:rsidRPr="006C7B09" w:rsidRDefault="004476DB" w:rsidP="004476DB">
      <w:pPr>
        <w:rPr>
          <w:rFonts w:asciiTheme="majorHAnsi" w:eastAsiaTheme="minorHAnsi" w:hAnsiTheme="majorHAnsi" w:cstheme="majorHAnsi"/>
        </w:rPr>
      </w:pPr>
    </w:p>
    <w:p w:rsidR="004476DB" w:rsidRPr="006C7B09" w:rsidRDefault="004476DB" w:rsidP="004476DB">
      <w:pPr>
        <w:rPr>
          <w:rFonts w:asciiTheme="majorHAnsi" w:eastAsiaTheme="minorHAnsi" w:hAnsiTheme="majorHAnsi" w:cstheme="majorHAnsi"/>
        </w:rPr>
      </w:pPr>
    </w:p>
    <w:p w:rsidR="00B756D6" w:rsidRDefault="00B756D6">
      <w:pPr>
        <w:rPr>
          <w:rFonts w:asciiTheme="majorHAnsi" w:eastAsiaTheme="minorHAnsi" w:hAnsiTheme="majorHAnsi" w:cstheme="majorHAnsi"/>
        </w:rPr>
      </w:pPr>
      <w:r>
        <w:rPr>
          <w:rFonts w:asciiTheme="majorHAnsi" w:eastAsiaTheme="minorHAnsi" w:hAnsiTheme="majorHAnsi" w:cstheme="majorHAnsi"/>
        </w:rPr>
        <w:br w:type="page"/>
      </w:r>
    </w:p>
    <w:p w:rsidR="00296770" w:rsidRDefault="00296770" w:rsidP="00E31115">
      <w:pPr>
        <w:pStyle w:val="TOCHeading"/>
        <w:numPr>
          <w:ilvl w:val="0"/>
          <w:numId w:val="0"/>
        </w:numPr>
        <w:ind w:left="432"/>
        <w:rPr>
          <w:rFonts w:asciiTheme="minorHAnsi" w:eastAsiaTheme="minorEastAsia" w:hAnsiTheme="minorHAnsi" w:cstheme="majorHAnsi"/>
          <w:b w:val="0"/>
          <w:bCs w:val="0"/>
          <w:smallCaps w:val="0"/>
          <w:color w:val="auto"/>
          <w:sz w:val="22"/>
          <w:szCs w:val="22"/>
        </w:rPr>
        <w:sectPr w:rsidR="00296770" w:rsidSect="00296770">
          <w:footerReference w:type="first" r:id="rId8"/>
          <w:pgSz w:w="12240" w:h="15840" w:code="1"/>
          <w:pgMar w:top="1440" w:right="1440" w:bottom="1440" w:left="1440" w:header="706" w:footer="706" w:gutter="0"/>
          <w:cols w:space="708"/>
          <w:titlePg/>
          <w:docGrid w:linePitch="360"/>
        </w:sectPr>
      </w:pPr>
    </w:p>
    <w:p w:rsidR="00B756D6" w:rsidRDefault="00B756D6" w:rsidP="00AB29F7">
      <w:pPr>
        <w:pStyle w:val="TOCHeading"/>
        <w:numPr>
          <w:ilvl w:val="0"/>
          <w:numId w:val="0"/>
        </w:numPr>
        <w:spacing w:before="960"/>
        <w:ind w:left="432"/>
        <w:rPr>
          <w:rFonts w:asciiTheme="minorHAnsi" w:eastAsiaTheme="minorEastAsia" w:hAnsiTheme="minorHAnsi" w:cstheme="majorHAnsi"/>
          <w:b w:val="0"/>
          <w:bCs w:val="0"/>
          <w:smallCaps w:val="0"/>
          <w:color w:val="auto"/>
          <w:sz w:val="22"/>
          <w:szCs w:val="22"/>
        </w:rPr>
      </w:pPr>
    </w:p>
    <w:p w:rsidR="00B756D6" w:rsidRDefault="00B756D6" w:rsidP="00C86850">
      <w:pPr>
        <w:pStyle w:val="TOCHeading"/>
        <w:numPr>
          <w:ilvl w:val="0"/>
          <w:numId w:val="0"/>
        </w:numPr>
        <w:spacing w:before="2520" w:line="240" w:lineRule="auto"/>
        <w:ind w:left="432"/>
        <w:rPr>
          <w:rFonts w:asciiTheme="minorHAnsi" w:eastAsiaTheme="minorEastAsia" w:hAnsiTheme="minorHAnsi" w:cstheme="majorHAnsi"/>
          <w:b w:val="0"/>
          <w:bCs w:val="0"/>
          <w:smallCaps w:val="0"/>
          <w:color w:val="auto"/>
          <w:sz w:val="22"/>
          <w:szCs w:val="22"/>
        </w:rPr>
      </w:pPr>
    </w:p>
    <w:sdt>
      <w:sdtPr>
        <w:rPr>
          <w:rFonts w:asciiTheme="minorHAnsi" w:eastAsiaTheme="minorEastAsia" w:hAnsiTheme="minorHAnsi" w:cstheme="majorHAnsi"/>
          <w:b w:val="0"/>
          <w:bCs w:val="0"/>
          <w:smallCaps w:val="0"/>
          <w:color w:val="auto"/>
          <w:sz w:val="22"/>
          <w:szCs w:val="22"/>
        </w:rPr>
        <w:id w:val="40665036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8775ED" w:rsidRPr="006C7B09" w:rsidRDefault="006F1BE2" w:rsidP="00E31115">
          <w:pPr>
            <w:pStyle w:val="TOCHeading"/>
            <w:numPr>
              <w:ilvl w:val="0"/>
              <w:numId w:val="0"/>
            </w:numPr>
            <w:ind w:left="432"/>
            <w:rPr>
              <w:rFonts w:cstheme="majorHAnsi"/>
              <w:sz w:val="28"/>
              <w:szCs w:val="28"/>
            </w:rPr>
          </w:pPr>
          <w:r w:rsidRPr="006C7B09">
            <w:rPr>
              <w:rFonts w:cstheme="majorHAnsi"/>
              <w:sz w:val="28"/>
              <w:szCs w:val="28"/>
            </w:rPr>
            <w:t>Садржај</w:t>
          </w:r>
        </w:p>
        <w:p w:rsidR="007441D6" w:rsidRPr="006C7B09" w:rsidRDefault="008775ED">
          <w:pPr>
            <w:pStyle w:val="TOC1"/>
            <w:tabs>
              <w:tab w:val="left" w:pos="440"/>
              <w:tab w:val="right" w:leader="dot" w:pos="9350"/>
            </w:tabs>
            <w:rPr>
              <w:rFonts w:asciiTheme="majorHAnsi" w:hAnsiTheme="majorHAnsi" w:cstheme="majorHAnsi"/>
              <w:noProof/>
              <w:lang w:val="sr-Latn-RS" w:eastAsia="sr-Latn-RS"/>
            </w:rPr>
          </w:pPr>
          <w:r w:rsidRPr="006C7B09">
            <w:rPr>
              <w:rFonts w:asciiTheme="majorHAnsi" w:hAnsiTheme="majorHAnsi" w:cstheme="majorHAnsi"/>
            </w:rPr>
            <w:fldChar w:fldCharType="begin"/>
          </w:r>
          <w:r w:rsidRPr="006C7B09">
            <w:rPr>
              <w:rFonts w:asciiTheme="majorHAnsi" w:hAnsiTheme="majorHAnsi" w:cstheme="majorHAnsi"/>
            </w:rPr>
            <w:instrText xml:space="preserve"> TOC \o "1-3" \h \z \u </w:instrText>
          </w:r>
          <w:r w:rsidRPr="006C7B09">
            <w:rPr>
              <w:rFonts w:asciiTheme="majorHAnsi" w:hAnsiTheme="majorHAnsi" w:cstheme="majorHAnsi"/>
            </w:rPr>
            <w:fldChar w:fldCharType="separate"/>
          </w:r>
          <w:hyperlink w:anchor="_Toc52283273" w:history="1"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</w:rPr>
              <w:t>1</w:t>
            </w:r>
            <w:r w:rsidR="007441D6" w:rsidRPr="006C7B09">
              <w:rPr>
                <w:rFonts w:asciiTheme="majorHAnsi" w:hAnsiTheme="majorHAnsi" w:cstheme="majorHAnsi"/>
                <w:noProof/>
                <w:lang w:val="sr-Latn-RS" w:eastAsia="sr-Latn-RS"/>
              </w:rPr>
              <w:tab/>
            </w:r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</w:rPr>
              <w:t>Увод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instrText xml:space="preserve"> PAGEREF _Toc52283273 \h </w:instrTex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280402">
              <w:rPr>
                <w:rFonts w:asciiTheme="majorHAnsi" w:hAnsiTheme="majorHAnsi" w:cstheme="majorHAnsi"/>
                <w:noProof/>
                <w:webHidden/>
              </w:rPr>
              <w:t>3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7441D6" w:rsidRPr="006C7B09" w:rsidRDefault="009E5485">
          <w:pPr>
            <w:pStyle w:val="TOC1"/>
            <w:tabs>
              <w:tab w:val="left" w:pos="440"/>
              <w:tab w:val="right" w:leader="dot" w:pos="9350"/>
            </w:tabs>
            <w:rPr>
              <w:rFonts w:asciiTheme="majorHAnsi" w:hAnsiTheme="majorHAnsi" w:cstheme="majorHAnsi"/>
              <w:noProof/>
              <w:lang w:val="sr-Latn-RS" w:eastAsia="sr-Latn-RS"/>
            </w:rPr>
          </w:pPr>
          <w:hyperlink w:anchor="_Toc52283274" w:history="1"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</w:rPr>
              <w:t>2</w:t>
            </w:r>
            <w:r w:rsidR="007441D6" w:rsidRPr="006C7B09">
              <w:rPr>
                <w:rFonts w:asciiTheme="majorHAnsi" w:hAnsiTheme="majorHAnsi" w:cstheme="majorHAnsi"/>
                <w:noProof/>
                <w:lang w:val="sr-Latn-RS" w:eastAsia="sr-Latn-RS"/>
              </w:rPr>
              <w:tab/>
            </w:r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  <w:lang w:val="sr-Cyrl-RS"/>
              </w:rPr>
              <w:t>Календар објављивања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instrText xml:space="preserve"> PAGEREF _Toc52283274 \h </w:instrTex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280402">
              <w:rPr>
                <w:rFonts w:asciiTheme="majorHAnsi" w:hAnsiTheme="majorHAnsi" w:cstheme="majorHAnsi"/>
                <w:noProof/>
                <w:webHidden/>
              </w:rPr>
              <w:t>4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7441D6" w:rsidRPr="006C7B09" w:rsidRDefault="009E5485">
          <w:pPr>
            <w:pStyle w:val="TOC1"/>
            <w:tabs>
              <w:tab w:val="left" w:pos="440"/>
              <w:tab w:val="right" w:leader="dot" w:pos="9350"/>
            </w:tabs>
            <w:rPr>
              <w:rFonts w:asciiTheme="majorHAnsi" w:hAnsiTheme="majorHAnsi" w:cstheme="majorHAnsi"/>
              <w:noProof/>
              <w:lang w:val="sr-Latn-RS" w:eastAsia="sr-Latn-RS"/>
            </w:rPr>
          </w:pPr>
          <w:hyperlink w:anchor="_Toc52283275" w:history="1"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</w:rPr>
              <w:t>3</w:t>
            </w:r>
            <w:r w:rsidR="007441D6" w:rsidRPr="006C7B09">
              <w:rPr>
                <w:rFonts w:asciiTheme="majorHAnsi" w:hAnsiTheme="majorHAnsi" w:cstheme="majorHAnsi"/>
                <w:noProof/>
                <w:lang w:val="sr-Latn-RS" w:eastAsia="sr-Latn-RS"/>
              </w:rPr>
              <w:tab/>
            </w:r>
            <w:r w:rsidR="007441D6" w:rsidRPr="006C7B09">
              <w:rPr>
                <w:rStyle w:val="Hyperlink"/>
                <w:rFonts w:asciiTheme="majorHAnsi" w:eastAsiaTheme="minorHAnsi" w:hAnsiTheme="majorHAnsi" w:cstheme="majorHAnsi"/>
                <w:noProof/>
                <w:lang w:val="sr-Cyrl-RS"/>
              </w:rPr>
              <w:t>Текуће ревизије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instrText xml:space="preserve"> PAGEREF _Toc52283275 \h </w:instrTex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280402">
              <w:rPr>
                <w:rFonts w:asciiTheme="majorHAnsi" w:hAnsiTheme="majorHAnsi" w:cstheme="majorHAnsi"/>
                <w:noProof/>
                <w:webHidden/>
              </w:rPr>
              <w:t>6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7441D6" w:rsidRPr="006C7B09" w:rsidRDefault="009E5485">
          <w:pPr>
            <w:pStyle w:val="TOC1"/>
            <w:tabs>
              <w:tab w:val="left" w:pos="440"/>
              <w:tab w:val="right" w:leader="dot" w:pos="9350"/>
            </w:tabs>
            <w:rPr>
              <w:rFonts w:asciiTheme="majorHAnsi" w:hAnsiTheme="majorHAnsi" w:cstheme="majorHAnsi"/>
              <w:noProof/>
              <w:lang w:val="sr-Latn-RS" w:eastAsia="sr-Latn-RS"/>
            </w:rPr>
          </w:pPr>
          <w:hyperlink w:anchor="_Toc52283276" w:history="1">
            <w:r w:rsidR="007441D6" w:rsidRPr="006C7B09">
              <w:rPr>
                <w:rStyle w:val="Hyperlink"/>
                <w:rFonts w:asciiTheme="majorHAnsi" w:hAnsiTheme="majorHAnsi" w:cstheme="majorHAnsi"/>
                <w:noProof/>
              </w:rPr>
              <w:t>4</w:t>
            </w:r>
            <w:r w:rsidR="007441D6" w:rsidRPr="006C7B09">
              <w:rPr>
                <w:rFonts w:asciiTheme="majorHAnsi" w:hAnsiTheme="majorHAnsi" w:cstheme="majorHAnsi"/>
                <w:noProof/>
                <w:lang w:val="sr-Latn-RS" w:eastAsia="sr-Latn-RS"/>
              </w:rPr>
              <w:tab/>
            </w:r>
            <w:r w:rsidR="007441D6" w:rsidRPr="006C7B09">
              <w:rPr>
                <w:rStyle w:val="Hyperlink"/>
                <w:rFonts w:asciiTheme="majorHAnsi" w:hAnsiTheme="majorHAnsi" w:cstheme="majorHAnsi"/>
                <w:noProof/>
                <w:lang w:val="sr-Cyrl-RS"/>
              </w:rPr>
              <w:t xml:space="preserve">Велике </w:t>
            </w:r>
            <w:r w:rsidR="002102B1">
              <w:rPr>
                <w:rStyle w:val="Hyperlink"/>
                <w:rFonts w:asciiTheme="majorHAnsi" w:hAnsiTheme="majorHAnsi" w:cstheme="majorHAnsi"/>
                <w:noProof/>
                <w:lang w:val="sr-Cyrl-RS"/>
              </w:rPr>
              <w:t xml:space="preserve">редовне </w:t>
            </w:r>
            <w:r w:rsidR="007441D6" w:rsidRPr="006C7B09">
              <w:rPr>
                <w:rStyle w:val="Hyperlink"/>
                <w:rFonts w:asciiTheme="majorHAnsi" w:hAnsiTheme="majorHAnsi" w:cstheme="majorHAnsi"/>
                <w:noProof/>
                <w:lang w:val="sr-Latn-RS"/>
              </w:rPr>
              <w:t>(</w:t>
            </w:r>
            <w:r w:rsidR="007441D6" w:rsidRPr="006C7B09">
              <w:rPr>
                <w:rStyle w:val="Hyperlink"/>
                <w:rFonts w:asciiTheme="majorHAnsi" w:hAnsiTheme="majorHAnsi" w:cstheme="majorHAnsi"/>
                <w:noProof/>
                <w:lang w:val="sr-Cyrl-RS"/>
              </w:rPr>
              <w:t>бенчмарк) ревизије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instrText xml:space="preserve"> PAGEREF _Toc52283276 \h </w:instrTex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280402">
              <w:rPr>
                <w:rFonts w:asciiTheme="majorHAnsi" w:hAnsiTheme="majorHAnsi" w:cstheme="majorHAnsi"/>
                <w:noProof/>
                <w:webHidden/>
              </w:rPr>
              <w:t>8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7441D6" w:rsidRPr="006C7B09" w:rsidRDefault="009E5485">
          <w:pPr>
            <w:pStyle w:val="TOC1"/>
            <w:tabs>
              <w:tab w:val="left" w:pos="440"/>
              <w:tab w:val="right" w:leader="dot" w:pos="9350"/>
            </w:tabs>
            <w:rPr>
              <w:rFonts w:asciiTheme="majorHAnsi" w:hAnsiTheme="majorHAnsi" w:cstheme="majorHAnsi"/>
              <w:noProof/>
              <w:lang w:val="sr-Latn-RS" w:eastAsia="sr-Latn-RS"/>
            </w:rPr>
          </w:pPr>
          <w:hyperlink w:anchor="_Toc52283277" w:history="1">
            <w:r w:rsidR="007441D6" w:rsidRPr="006C7B09">
              <w:rPr>
                <w:rStyle w:val="Hyperlink"/>
                <w:rFonts w:asciiTheme="majorHAnsi" w:hAnsiTheme="majorHAnsi" w:cstheme="majorHAnsi"/>
                <w:noProof/>
              </w:rPr>
              <w:t>5</w:t>
            </w:r>
            <w:r w:rsidR="007441D6" w:rsidRPr="006C7B09">
              <w:rPr>
                <w:rFonts w:asciiTheme="majorHAnsi" w:hAnsiTheme="majorHAnsi" w:cstheme="majorHAnsi"/>
                <w:noProof/>
                <w:lang w:val="sr-Latn-RS" w:eastAsia="sr-Latn-RS"/>
              </w:rPr>
              <w:tab/>
            </w:r>
            <w:r w:rsidR="007441D6" w:rsidRPr="006C7B09">
              <w:rPr>
                <w:rStyle w:val="Hyperlink"/>
                <w:rFonts w:asciiTheme="majorHAnsi" w:hAnsiTheme="majorHAnsi" w:cstheme="majorHAnsi"/>
                <w:noProof/>
                <w:lang w:val="sr-Cyrl-RS"/>
              </w:rPr>
              <w:t>Ванредне ревизије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tab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begin"/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instrText xml:space="preserve"> PAGEREF _Toc52283277 \h </w:instrTex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separate"/>
            </w:r>
            <w:r w:rsidR="00280402">
              <w:rPr>
                <w:rFonts w:asciiTheme="majorHAnsi" w:hAnsiTheme="majorHAnsi" w:cstheme="majorHAnsi"/>
                <w:noProof/>
                <w:webHidden/>
              </w:rPr>
              <w:t>10</w:t>
            </w:r>
            <w:r w:rsidR="007441D6" w:rsidRPr="006C7B09">
              <w:rPr>
                <w:rFonts w:asciiTheme="majorHAnsi" w:hAnsiTheme="majorHAnsi" w:cstheme="majorHAnsi"/>
                <w:noProof/>
                <w:webHidden/>
              </w:rPr>
              <w:fldChar w:fldCharType="end"/>
            </w:r>
          </w:hyperlink>
        </w:p>
        <w:p w:rsidR="008775ED" w:rsidRPr="006C7B09" w:rsidRDefault="008775ED" w:rsidP="004476DB">
          <w:pPr>
            <w:rPr>
              <w:rFonts w:asciiTheme="majorHAnsi" w:hAnsiTheme="majorHAnsi" w:cstheme="majorHAnsi"/>
            </w:rPr>
          </w:pPr>
          <w:r w:rsidRPr="006C7B09">
            <w:rPr>
              <w:rFonts w:asciiTheme="majorHAnsi" w:hAnsiTheme="majorHAnsi" w:cstheme="majorHAnsi"/>
              <w:b/>
              <w:bCs/>
              <w:noProof/>
            </w:rPr>
            <w:fldChar w:fldCharType="end"/>
          </w:r>
        </w:p>
      </w:sdtContent>
    </w:sdt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4476DB" w:rsidRPr="006C7B09" w:rsidRDefault="004476DB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CA16E9" w:rsidRPr="006C7B09" w:rsidRDefault="00CA16E9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b/>
          <w:sz w:val="24"/>
          <w:szCs w:val="24"/>
        </w:rPr>
      </w:pPr>
    </w:p>
    <w:p w:rsidR="008775ED" w:rsidRPr="006C7B09" w:rsidRDefault="003E6EF1" w:rsidP="008775ED">
      <w:pPr>
        <w:pStyle w:val="Heading1"/>
        <w:rPr>
          <w:rFonts w:eastAsiaTheme="minorHAnsi" w:cstheme="majorHAnsi"/>
        </w:rPr>
      </w:pPr>
      <w:bookmarkStart w:id="0" w:name="_Toc52283273"/>
      <w:r w:rsidRPr="006C7B09">
        <w:rPr>
          <w:rFonts w:eastAsiaTheme="minorHAnsi" w:cstheme="majorHAnsi"/>
        </w:rPr>
        <w:lastRenderedPageBreak/>
        <w:t>Увод</w:t>
      </w:r>
      <w:bookmarkEnd w:id="0"/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18"/>
          <w:szCs w:val="18"/>
        </w:rPr>
      </w:pPr>
    </w:p>
    <w:p w:rsidR="006F1BE2" w:rsidRPr="006C7B09" w:rsidRDefault="000C6838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Сврха овог </w:t>
      </w:r>
      <w:r w:rsidR="00A12A1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документ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="00A12A1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је</w:t>
      </w:r>
      <w:r w:rsidR="00D479B8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сте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A12A1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да </w:t>
      </w:r>
      <w:r w:rsidR="00D479B8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прикаже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основне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принципе и стандарде </w:t>
      </w:r>
      <w:r w:rsidR="00D479B8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спровођење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</w:t>
      </w:r>
      <w:r w:rsidR="00D479B8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зија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објављених података националних рачуна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који се заснивају на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Европском систему националних и регионалних рачуна</w:t>
      </w:r>
      <w:r w:rsidR="00A12A1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(</w:t>
      </w:r>
      <w:r w:rsidR="00E2507B" w:rsidRPr="006C7B09">
        <w:rPr>
          <w:rFonts w:asciiTheme="majorHAnsi" w:eastAsiaTheme="minorHAnsi" w:hAnsiTheme="majorHAnsi" w:cstheme="majorHAnsi"/>
          <w:i/>
          <w:sz w:val="20"/>
          <w:szCs w:val="20"/>
        </w:rPr>
        <w:t>European System of National and Regional Accounts</w:t>
      </w:r>
      <w:r w:rsidR="001F6B50" w:rsidRPr="006C7B09">
        <w:rPr>
          <w:rFonts w:asciiTheme="majorHAnsi" w:eastAsiaTheme="minorHAnsi" w:hAnsiTheme="majorHAnsi" w:cstheme="majorHAnsi"/>
          <w:i/>
          <w:sz w:val="20"/>
          <w:szCs w:val="20"/>
          <w:lang w:val="sr-Cyrl-RS"/>
        </w:rPr>
        <w:t xml:space="preserve"> -</w:t>
      </w:r>
      <w:r w:rsidR="00E2507B" w:rsidRPr="006C7B09">
        <w:rPr>
          <w:rFonts w:asciiTheme="majorHAnsi" w:hAnsiTheme="majorHAnsi" w:cstheme="majorHAnsi"/>
        </w:rPr>
        <w:t xml:space="preserve"> </w:t>
      </w:r>
      <w:r w:rsidRPr="006C7B09">
        <w:rPr>
          <w:rFonts w:asciiTheme="majorHAnsi" w:eastAsiaTheme="minorHAnsi" w:hAnsiTheme="majorHAnsi" w:cstheme="majorHAnsi"/>
          <w:i/>
          <w:sz w:val="20"/>
          <w:szCs w:val="20"/>
          <w:lang w:val="sr-Cyrl-RS"/>
        </w:rPr>
        <w:t>ESA 2010</w:t>
      </w:r>
      <w:r w:rsidR="00A12A1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). Политика ревизије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Републичког завода за статистику (РЗС) </w:t>
      </w:r>
      <w:r w:rsidR="00D479B8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у потпуности је усклађена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са националним календаром објављивања и са водећим принципима </w:t>
      </w:r>
      <w:r w:rsidR="00AE5681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Хармонизоване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европске </w:t>
      </w:r>
      <w:r w:rsidR="00AE5681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политике 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ревиз</w:t>
      </w:r>
      <w:r w:rsidR="00AE5681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иј</w:t>
      </w:r>
      <w:r w:rsidR="00E1175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="006F1BE2" w:rsidRPr="006C7B09">
        <w:rPr>
          <w:rStyle w:val="FootnoteReference"/>
          <w:rFonts w:asciiTheme="majorHAnsi" w:eastAsiaTheme="minorHAnsi" w:hAnsiTheme="majorHAnsi" w:cstheme="majorHAnsi"/>
          <w:sz w:val="20"/>
          <w:szCs w:val="20"/>
          <w:lang w:val="sr-Cyrl-RS"/>
        </w:rPr>
        <w:footnoteReference w:id="1"/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 препорукама Е</w:t>
      </w:r>
      <w:r w:rsidR="005A4E8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в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ростата о реви</w:t>
      </w:r>
      <w:r w:rsidR="005A4E8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</w:t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="005A4E8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рању</w:t>
      </w:r>
      <w:r w:rsidR="0099402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података националних рачуна обрачунатих у складу са </w:t>
      </w:r>
      <w:r w:rsidR="005A4E82" w:rsidRPr="006C7B09">
        <w:rPr>
          <w:rFonts w:asciiTheme="majorHAnsi" w:eastAsiaTheme="minorHAnsi" w:hAnsiTheme="majorHAnsi" w:cstheme="majorHAnsi"/>
          <w:i/>
          <w:sz w:val="20"/>
          <w:szCs w:val="20"/>
          <w:lang w:val="sr-Cyrl-RS"/>
        </w:rPr>
        <w:t>ESA 2010</w:t>
      </w:r>
      <w:r w:rsidR="006F1BE2" w:rsidRPr="006C7B09">
        <w:rPr>
          <w:rStyle w:val="FootnoteReference"/>
          <w:rFonts w:asciiTheme="majorHAnsi" w:eastAsiaTheme="minorHAnsi" w:hAnsiTheme="majorHAnsi" w:cstheme="majorHAnsi"/>
          <w:sz w:val="20"/>
          <w:szCs w:val="20"/>
          <w:lang w:val="sr-Cyrl-RS"/>
        </w:rPr>
        <w:footnoteReference w:id="2"/>
      </w:r>
      <w:r w:rsidR="006F1BE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8775ED" w:rsidRPr="006C7B09" w:rsidRDefault="00A12A1B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Latn-RS"/>
        </w:rPr>
      </w:pPr>
      <w:r w:rsidRPr="006C7B09">
        <w:rPr>
          <w:rFonts w:asciiTheme="majorHAnsi" w:hAnsiTheme="majorHAnsi" w:cstheme="majorHAnsi"/>
        </w:rPr>
        <w:br/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Политика ревизиј</w:t>
      </w:r>
      <w:r w:rsidR="00E11755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E11755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утврђује општа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правила ревизиј</w:t>
      </w:r>
      <w:r w:rsidR="00E11755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објављених </w:t>
      </w:r>
      <w:r w:rsidR="00E11755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података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</w:t>
      </w:r>
      <w:r w:rsidR="00797A3F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начине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информиса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ња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корисник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у вези са 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могућим узроцима ревизија, 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категоризацију 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ревизија и документациј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у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која покрива све аспекте ревизиј</w:t>
      </w:r>
      <w:r w:rsidR="00280D12"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C72A34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p w:rsidR="006A49FD" w:rsidRPr="006C7B09" w:rsidRDefault="006A49F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Систем националних рачуна представља макроекономски систем података који </w:t>
      </w:r>
      <w:r w:rsidR="00A55EF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пружају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увид у укупну економију. </w:t>
      </w:r>
      <w:r w:rsidR="00A55EF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Национални р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ачуни заузимају централну позицију у статистичком систему и важна су основа за управљање економском политиком и </w:t>
      </w:r>
      <w:r w:rsidR="00A55EF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доношење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одлу</w:t>
      </w:r>
      <w:r w:rsidR="00A55EF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 јер омогућавају мерење нивоа економског развоја, стопе економског раста, промена у производњи, потрошњи, штедњ</w:t>
      </w:r>
      <w:r w:rsidR="0044073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и, </w:t>
      </w:r>
      <w:r w:rsidR="00A55EF5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инвестицијама</w:t>
      </w:r>
      <w:r w:rsidR="0044073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у основна средства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 извоз</w:t>
      </w:r>
      <w:r w:rsidR="00B95A3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 увоз</w:t>
      </w:r>
      <w:r w:rsidR="00B95A3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. </w:t>
      </w:r>
    </w:p>
    <w:p w:rsidR="001524C8" w:rsidRPr="006C7B09" w:rsidRDefault="001524C8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1524C8" w:rsidRPr="006C7B09" w:rsidRDefault="001524C8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Дефинисањем политике ревизија РЗС прати визију интегрисаног статистичког система, у којем су публиковање и ревизије података координирани и синхронизовани, а транспарентност за кориснике обезбеђена јасним презентовањем политике ревизија и статистичке праксе.</w:t>
      </w: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p w:rsidR="008775ED" w:rsidRPr="00265181" w:rsidRDefault="00733A3C" w:rsidP="00265181">
      <w:pPr>
        <w:spacing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Политика ревизије 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националних рачуна обухвата све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објављен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квар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талне и годишње серије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Latn-RS"/>
        </w:rPr>
        <w:t xml:space="preserve"> 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података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у оквиру националних рачуна. 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То подразумева 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све серије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података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из 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следећи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х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статистички</w:t>
      </w:r>
      <w:r w:rsidR="00D2248B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х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области:</w:t>
      </w:r>
    </w:p>
    <w:p w:rsidR="003F511A" w:rsidRPr="006C7B09" w:rsidRDefault="00D2248B" w:rsidP="008775E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основни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агрегати националних рачуна, годиш</w:t>
      </w:r>
      <w:r w:rsidR="007248F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њ</w:t>
      </w:r>
      <w:r w:rsidR="003F511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 и квартални подаци;</w:t>
      </w:r>
    </w:p>
    <w:p w:rsidR="003F511A" w:rsidRPr="006C7B09" w:rsidRDefault="003F511A" w:rsidP="008775E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нефинансијск</w:t>
      </w:r>
      <w:r w:rsidR="00B95A3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сектор</w:t>
      </w:r>
      <w:r w:rsidR="00B95A3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ски рачуни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 годишњи подаци;</w:t>
      </w:r>
    </w:p>
    <w:p w:rsidR="003F511A" w:rsidRPr="006C7B09" w:rsidRDefault="003F511A" w:rsidP="008775E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статистика државних финансија;</w:t>
      </w:r>
    </w:p>
    <w:p w:rsidR="003F511A" w:rsidRPr="006C7B09" w:rsidRDefault="003F511A" w:rsidP="008775E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табеле понуде и употребе и инпут-аутпут табеле</w:t>
      </w:r>
      <w:r w:rsidR="005235B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B419F6">
        <w:rPr>
          <w:rFonts w:ascii="Arial" w:eastAsiaTheme="minorHAnsi" w:hAnsi="Arial" w:cs="Arial"/>
          <w:sz w:val="20"/>
          <w:szCs w:val="20"/>
          <w:lang w:val="sr-Cyrl-RS"/>
        </w:rPr>
        <w:t>‒</w:t>
      </w:r>
      <w:r w:rsidR="005235B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441D3C" w:rsidRPr="006C7B09">
        <w:rPr>
          <w:rFonts w:asciiTheme="majorHAnsi" w:eastAsiaTheme="minorHAnsi" w:hAnsiTheme="majorHAnsi" w:cstheme="majorHAnsi"/>
          <w:i/>
          <w:sz w:val="20"/>
          <w:szCs w:val="20"/>
        </w:rPr>
        <w:t>SUT-IOT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;</w:t>
      </w:r>
    </w:p>
    <w:p w:rsidR="003F511A" w:rsidRPr="006C7B09" w:rsidRDefault="003F511A" w:rsidP="008775ED">
      <w:pPr>
        <w:numPr>
          <w:ilvl w:val="0"/>
          <w:numId w:val="11"/>
        </w:numPr>
        <w:spacing w:after="0" w:line="276" w:lineRule="auto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регионални рачуни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3F511A" w:rsidRPr="006C7B09" w:rsidRDefault="003F511A" w:rsidP="00691FAE">
      <w:pPr>
        <w:spacing w:after="0" w:line="276" w:lineRule="auto"/>
        <w:ind w:left="720"/>
        <w:contextualSpacing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p w:rsidR="00691FAE" w:rsidRPr="006C7B09" w:rsidRDefault="003F511A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Ревизија п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редставља сваку промену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вредности објављених статистичких података и 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треба је прихватити као 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устаљену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праксу која води 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повећању 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квалитета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 поузданости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статистичких података.</w:t>
      </w:r>
    </w:p>
    <w:p w:rsidR="00691FAE" w:rsidRPr="006C7B09" w:rsidRDefault="00691FAE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B13720" w:rsidRPr="006C7B09" w:rsidRDefault="00B419F6" w:rsidP="00265181">
      <w:pPr>
        <w:spacing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>
        <w:rPr>
          <w:rFonts w:asciiTheme="majorHAnsi" w:eastAsiaTheme="minorHAnsi" w:hAnsiTheme="majorHAnsi" w:cstheme="majorHAnsi"/>
          <w:sz w:val="20"/>
          <w:szCs w:val="20"/>
          <w:lang w:val="sr-Cyrl-RS"/>
        </w:rPr>
        <w:t>Када се узму у обзир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узро</w:t>
      </w:r>
      <w:r>
        <w:rPr>
          <w:rFonts w:asciiTheme="majorHAnsi" w:eastAsiaTheme="minorHAnsi" w:hAnsiTheme="majorHAnsi" w:cstheme="majorHAnsi"/>
          <w:sz w:val="20"/>
          <w:szCs w:val="20"/>
          <w:lang w:val="sr-Cyrl-RS"/>
        </w:rPr>
        <w:t>ци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 </w:t>
      </w:r>
      <w:r w:rsidR="00797A3F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учесталост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спровођења</w:t>
      </w:r>
      <w:r w:rsidR="00691FA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ревизија, могу се дефинисати</w:t>
      </w:r>
      <w:r w:rsidR="00B1372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:</w:t>
      </w:r>
    </w:p>
    <w:p w:rsidR="00B13720" w:rsidRPr="006C7B09" w:rsidRDefault="00B13720" w:rsidP="00691FA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текуће ревизије</w:t>
      </w:r>
      <w:r w:rsidR="00B419F6">
        <w:rPr>
          <w:rFonts w:asciiTheme="majorHAnsi" w:hAnsiTheme="majorHAnsi" w:cstheme="majorHAnsi"/>
          <w:sz w:val="20"/>
          <w:szCs w:val="20"/>
          <w:lang w:val="sr-Cyrl-RS"/>
        </w:rPr>
        <w:t>,</w:t>
      </w:r>
    </w:p>
    <w:p w:rsidR="00B13720" w:rsidRPr="006C7B09" w:rsidRDefault="00B13720" w:rsidP="00691FA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велике </w:t>
      </w:r>
      <w:r w:rsidR="00780388">
        <w:rPr>
          <w:rFonts w:asciiTheme="majorHAnsi" w:hAnsiTheme="majorHAnsi" w:cstheme="majorHAnsi"/>
          <w:sz w:val="20"/>
          <w:szCs w:val="20"/>
          <w:lang w:val="sr-Cyrl-RS"/>
        </w:rPr>
        <w:t xml:space="preserve">редовне </w:t>
      </w:r>
      <w:r w:rsidR="00756E52" w:rsidRPr="006C7B09">
        <w:rPr>
          <w:rFonts w:asciiTheme="majorHAnsi" w:hAnsiTheme="majorHAnsi" w:cstheme="majorHAnsi"/>
          <w:sz w:val="20"/>
          <w:szCs w:val="20"/>
          <w:lang w:val="sr-Latn-RS"/>
        </w:rPr>
        <w:t>(</w:t>
      </w:r>
      <w:r w:rsidR="00756E5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бенчмарк)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ревизије</w:t>
      </w:r>
      <w:r w:rsidR="00B419F6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="00756E5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</w:t>
      </w:r>
    </w:p>
    <w:p w:rsidR="00B13720" w:rsidRPr="006C7B09" w:rsidRDefault="00B13720" w:rsidP="00691FAE">
      <w:pPr>
        <w:pStyle w:val="ListParagraph"/>
        <w:numPr>
          <w:ilvl w:val="0"/>
          <w:numId w:val="27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ванредне ревизије</w:t>
      </w:r>
      <w:r w:rsidR="00691FAE"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8775ED" w:rsidRPr="006C7B09" w:rsidRDefault="00B13720" w:rsidP="008775ED">
      <w:pPr>
        <w:pStyle w:val="Heading1"/>
        <w:rPr>
          <w:rFonts w:eastAsiaTheme="minorHAnsi" w:cstheme="majorHAnsi"/>
        </w:rPr>
      </w:pPr>
      <w:bookmarkStart w:id="1" w:name="_Toc52283274"/>
      <w:r w:rsidRPr="006C7B09">
        <w:rPr>
          <w:rFonts w:eastAsiaTheme="minorHAnsi" w:cstheme="majorHAnsi"/>
          <w:lang w:val="sr-Cyrl-RS"/>
        </w:rPr>
        <w:lastRenderedPageBreak/>
        <w:t>Календар објављивања</w:t>
      </w:r>
      <w:bookmarkEnd w:id="1"/>
    </w:p>
    <w:p w:rsidR="00A33434" w:rsidRDefault="00A33434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8775ED" w:rsidRPr="006C7B09" w:rsidRDefault="002E6153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Календар</w:t>
      </w:r>
      <w:r w:rsidR="004E36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објављивања доступан </w:t>
      </w:r>
      <w:r w:rsidR="00173F8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је </w:t>
      </w:r>
      <w:r w:rsidR="004E36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на </w:t>
      </w:r>
      <w:r w:rsidR="00B64AB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интернет страници </w:t>
      </w:r>
      <w:r w:rsidR="004E36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</w:t>
      </w:r>
      <w:r w:rsidR="00B64AB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ЗС-а месец</w:t>
      </w:r>
      <w:r w:rsidR="004E36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дана пре почетка године.</w:t>
      </w:r>
    </w:p>
    <w:p w:rsidR="00B20F51" w:rsidRPr="006C7B09" w:rsidRDefault="00B20F51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4699"/>
        <w:gridCol w:w="2194"/>
      </w:tblGrid>
      <w:tr w:rsidR="008775ED" w:rsidRPr="006C7B09" w:rsidTr="00D21DC9">
        <w:trPr>
          <w:trHeight w:hRule="exact" w:val="432"/>
          <w:jc w:val="center"/>
        </w:trPr>
        <w:tc>
          <w:tcPr>
            <w:tcW w:w="9214" w:type="dxa"/>
            <w:gridSpan w:val="3"/>
            <w:tcBorders>
              <w:bottom w:val="single" w:sz="8" w:space="0" w:color="auto"/>
            </w:tcBorders>
            <w:shd w:val="clear" w:color="auto" w:fill="E2EFD9" w:themeFill="accent6" w:themeFillTint="33"/>
            <w:vAlign w:val="center"/>
          </w:tcPr>
          <w:p w:rsidR="008775ED" w:rsidRPr="006C7B09" w:rsidRDefault="004E3602" w:rsidP="00F32202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Календар објављивања националних рачуна</w:t>
            </w:r>
            <w:r w:rsidR="008775ED" w:rsidRPr="006C7B0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8775ED" w:rsidRPr="006C7B09" w:rsidTr="00D21DC9">
        <w:trPr>
          <w:trHeight w:hRule="exact" w:val="432"/>
          <w:jc w:val="center"/>
        </w:trPr>
        <w:tc>
          <w:tcPr>
            <w:tcW w:w="2321" w:type="dxa"/>
            <w:tcBorders>
              <w:top w:val="single" w:sz="8" w:space="0" w:color="auto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8775ED" w:rsidRPr="006C7B09" w:rsidRDefault="004E3602" w:rsidP="0022774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 xml:space="preserve">Област </w:t>
            </w:r>
          </w:p>
        </w:tc>
        <w:tc>
          <w:tcPr>
            <w:tcW w:w="4699" w:type="dxa"/>
            <w:tcBorders>
              <w:top w:val="single" w:sz="8" w:space="0" w:color="auto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8775ED" w:rsidRPr="006C7B09" w:rsidRDefault="004E3602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Назив</w:t>
            </w:r>
          </w:p>
        </w:tc>
        <w:tc>
          <w:tcPr>
            <w:tcW w:w="2194" w:type="dxa"/>
            <w:tcBorders>
              <w:top w:val="single" w:sz="8" w:space="0" w:color="auto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8775ED" w:rsidRPr="006C7B09" w:rsidRDefault="004E3602" w:rsidP="00B64ABA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Број публикациј</w:t>
            </w:r>
            <w:r w:rsidR="00B64ABA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а</w:t>
            </w:r>
          </w:p>
        </w:tc>
      </w:tr>
      <w:tr w:rsidR="008775ED" w:rsidRPr="006C7B09" w:rsidTr="00D21DC9">
        <w:trPr>
          <w:jc w:val="center"/>
        </w:trPr>
        <w:tc>
          <w:tcPr>
            <w:tcW w:w="2321" w:type="dxa"/>
            <w:vMerge w:val="restart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B64ABA" w:rsidP="00B64ABA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Основни агрегати н</w:t>
            </w:r>
            <w:r w:rsidR="004E3602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ационални</w:t>
            </w: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 xml:space="preserve">х </w:t>
            </w:r>
            <w:r w:rsidR="004E3602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рачун</w:t>
            </w: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а</w:t>
            </w:r>
            <w:r w:rsidR="008775ED" w:rsidRPr="006C7B09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r w:rsidR="004E3602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 xml:space="preserve">квартални подаци 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4E3602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К</w:t>
            </w:r>
            <w:r w:rsidR="00AE321C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вартални бруто дома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ћи про</w:t>
            </w:r>
            <w:r w:rsidR="00B64ABA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звод Републике Србије </w:t>
            </w:r>
            <w:r w:rsidR="00AE321C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у сталним ценама – брза</w:t>
            </w:r>
            <w:r w:rsidR="00B64ABA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/флеш</w:t>
            </w:r>
            <w:r w:rsidR="00AE321C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процена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8E051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1</w:t>
            </w:r>
            <w:r w:rsidR="00B64ABA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</w:t>
            </w:r>
            <w:r w:rsidR="004E3602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квартал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у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7B264D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референтни квартал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+ </w:t>
            </w:r>
            <w:r w:rsidR="008E051B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1 месец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775ED" w:rsidRPr="006C7B09" w:rsidTr="00D21DC9">
        <w:trPr>
          <w:jc w:val="center"/>
        </w:trPr>
        <w:tc>
          <w:tcPr>
            <w:tcW w:w="2321" w:type="dxa"/>
            <w:vMerge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AE321C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Квартални бруто домаћи про</w:t>
            </w:r>
            <w:r w:rsidR="007248F0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звод Републике Србије 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8E051B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</w:t>
            </w:r>
            <w:r w:rsidR="002E6153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квартал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у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2E6153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референтни квартал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+ </w:t>
            </w:r>
            <w:r w:rsidR="008E051B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2 месеца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B32185" w:rsidRPr="006C7B09" w:rsidTr="00251E96">
        <w:trPr>
          <w:jc w:val="center"/>
        </w:trPr>
        <w:tc>
          <w:tcPr>
            <w:tcW w:w="2321" w:type="dxa"/>
            <w:vMerge w:val="restart"/>
            <w:tcBorders>
              <w:top w:val="single" w:sz="8" w:space="0" w:color="A8D08D" w:themeColor="accent6" w:themeTint="99"/>
            </w:tcBorders>
            <w:vAlign w:val="center"/>
          </w:tcPr>
          <w:p w:rsidR="00B32185" w:rsidRPr="006C7B09" w:rsidRDefault="00B32185" w:rsidP="001A4420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Основни агрегати националних рачуна, годишњи подаци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B32185" w:rsidRPr="006C7B09" w:rsidRDefault="00FF723D" w:rsidP="00FF723D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Економска кретања –</w:t>
            </w:r>
            <w:r w:rsidRPr="00FF723D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стопа раста БДП-а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B32185" w:rsidRPr="006C7B09" w:rsidRDefault="00B333B6" w:rsidP="00B333B6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B333B6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по години (крај децембра референтне године)</w:t>
            </w:r>
          </w:p>
        </w:tc>
      </w:tr>
      <w:tr w:rsidR="00B32185" w:rsidRPr="006C7B09" w:rsidTr="00251E96">
        <w:trPr>
          <w:jc w:val="center"/>
        </w:trPr>
        <w:tc>
          <w:tcPr>
            <w:tcW w:w="2321" w:type="dxa"/>
            <w:vMerge/>
            <w:vAlign w:val="center"/>
          </w:tcPr>
          <w:p w:rsidR="00B32185" w:rsidRPr="006C7B09" w:rsidRDefault="00B32185" w:rsidP="001A4420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B32185" w:rsidRPr="006C7B09" w:rsidRDefault="00B32185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Бруто домаћи производ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сума четири квартала, процена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B32185" w:rsidRPr="006C7B09" w:rsidRDefault="00B32185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по години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референтна година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+ 2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B32185" w:rsidRPr="006C7B09" w:rsidTr="00251E96">
        <w:trPr>
          <w:jc w:val="center"/>
        </w:trPr>
        <w:tc>
          <w:tcPr>
            <w:tcW w:w="2321" w:type="dxa"/>
            <w:vMerge/>
            <w:vAlign w:val="center"/>
          </w:tcPr>
          <w:p w:rsidR="00B32185" w:rsidRPr="006C7B09" w:rsidRDefault="00B32185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B32185" w:rsidRPr="006C7B09" w:rsidRDefault="00B32185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Бруто домаћи производ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–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годишњи обрачун, претходни подаци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B32185" w:rsidRPr="006C7B09" w:rsidRDefault="00B32185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години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референтна година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+ 9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B32185" w:rsidRPr="006C7B09" w:rsidTr="00251E96">
        <w:trPr>
          <w:jc w:val="center"/>
        </w:trPr>
        <w:tc>
          <w:tcPr>
            <w:tcW w:w="2321" w:type="dxa"/>
            <w:vMerge/>
            <w:tcBorders>
              <w:bottom w:val="single" w:sz="8" w:space="0" w:color="A8D08D" w:themeColor="accent6" w:themeTint="99"/>
            </w:tcBorders>
            <w:vAlign w:val="center"/>
          </w:tcPr>
          <w:p w:rsidR="00B32185" w:rsidRPr="006C7B09" w:rsidRDefault="00B32185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B32185" w:rsidRPr="006C7B09" w:rsidRDefault="00B32185" w:rsidP="005235BE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Бруто домаћи производ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–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базиран 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C7B09">
              <w:rPr>
                <w:rFonts w:asciiTheme="majorHAnsi" w:hAnsiTheme="majorHAnsi" w:cstheme="majorHAnsi"/>
                <w:i/>
                <w:sz w:val="20"/>
                <w:szCs w:val="20"/>
              </w:rPr>
              <w:t>SUT-IOT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коначни подаци 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B32185" w:rsidRPr="006C7B09" w:rsidRDefault="00B32185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години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референтна година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+ 21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95740" w:rsidRPr="006C7B09" w:rsidTr="00D21DC9">
        <w:trPr>
          <w:jc w:val="center"/>
        </w:trPr>
        <w:tc>
          <w:tcPr>
            <w:tcW w:w="2321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95740" w:rsidRPr="006C7B09" w:rsidRDefault="005044DE" w:rsidP="00895740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Нефинанси</w:t>
            </w:r>
            <w:r w:rsidR="00895740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ј</w:t>
            </w: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с</w:t>
            </w:r>
            <w:r w:rsidR="00895740"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ки секторски рачуни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95740" w:rsidRPr="006C7B09" w:rsidRDefault="00895740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Годишњи нефинансијски секторски рачуни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95740" w:rsidRPr="006C7B09" w:rsidRDefault="00895740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години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референтна година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+ 11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</w:t>
            </w:r>
            <w:r w:rsidR="005044DE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775ED" w:rsidRPr="006C7B09" w:rsidTr="00D21DC9">
        <w:trPr>
          <w:jc w:val="center"/>
        </w:trPr>
        <w:tc>
          <w:tcPr>
            <w:tcW w:w="2321" w:type="dxa"/>
            <w:vMerge w:val="restart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AE321C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Регионални рачуни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AE321C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Регионални </w:t>
            </w:r>
            <w:r w:rsidR="008775ED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БДП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по години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референтна година</w:t>
            </w:r>
            <w:r w:rsidR="007A72A1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+ 11 </w:t>
            </w:r>
            <w:r w:rsidR="00416C35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775ED" w:rsidRPr="006C7B09" w:rsidTr="00D21DC9">
        <w:trPr>
          <w:jc w:val="center"/>
        </w:trPr>
        <w:tc>
          <w:tcPr>
            <w:tcW w:w="2321" w:type="dxa"/>
            <w:vMerge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8775ED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AE321C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Регионал</w:t>
            </w:r>
            <w:r w:rsidR="006469A4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н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 БДП</w:t>
            </w:r>
            <w:r w:rsidR="008775ED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– </w:t>
            </w:r>
            <w:r w:rsidR="00341C68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НСТЈ3,</w:t>
            </w:r>
            <w:r w:rsidR="00341C68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="00341C68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по делатностима (А10)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8775ED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6469A4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години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референтна година </w:t>
            </w:r>
            <w:r w:rsidR="007A72A1"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+ 15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775ED" w:rsidRPr="006C7B09" w:rsidTr="00D21DC9">
        <w:trPr>
          <w:trHeight w:val="1025"/>
          <w:jc w:val="center"/>
        </w:trPr>
        <w:tc>
          <w:tcPr>
            <w:tcW w:w="2321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2E1140" w:rsidP="002E1140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Табеле понуде и употребе и инпут-аутпут табеле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6469A4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Т</w:t>
            </w:r>
            <w:r w:rsidR="00A419B4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абеле понуде и употребе и инпут-аутпут табеле</w:t>
            </w:r>
            <w:r w:rsidR="00A419B4" w:rsidRPr="006C7B09" w:rsidDel="00A419B4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8775ED" w:rsidRPr="006C7B09" w:rsidRDefault="007A72A1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1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по години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референтна година 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 xml:space="preserve">+ 21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</w:t>
            </w:r>
            <w:r w:rsidRPr="006C7B09">
              <w:rPr>
                <w:rFonts w:asciiTheme="majorHAnsi" w:hAnsiTheme="majorHAnsi" w:cstheme="majorHAnsi"/>
                <w:sz w:val="20"/>
                <w:szCs w:val="20"/>
              </w:rPr>
              <w:t>)</w:t>
            </w:r>
          </w:p>
        </w:tc>
      </w:tr>
      <w:tr w:rsidR="008775ED" w:rsidRPr="006C7B09" w:rsidTr="00D21DC9">
        <w:trPr>
          <w:jc w:val="center"/>
        </w:trPr>
        <w:tc>
          <w:tcPr>
            <w:tcW w:w="2321" w:type="dxa"/>
            <w:tcBorders>
              <w:top w:val="single" w:sz="8" w:space="0" w:color="A8D08D" w:themeColor="accent6" w:themeTint="99"/>
              <w:bottom w:val="single" w:sz="8" w:space="0" w:color="auto"/>
            </w:tcBorders>
            <w:vAlign w:val="center"/>
          </w:tcPr>
          <w:p w:rsidR="008775ED" w:rsidRPr="006C7B09" w:rsidRDefault="00A419B4" w:rsidP="008775ED">
            <w:pPr>
              <w:spacing w:line="276" w:lineRule="auto"/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20"/>
                <w:szCs w:val="20"/>
                <w:lang w:val="sr-Cyrl-RS"/>
              </w:rPr>
              <w:t>Статистика државних финансија</w:t>
            </w:r>
          </w:p>
        </w:tc>
        <w:tc>
          <w:tcPr>
            <w:tcW w:w="4699" w:type="dxa"/>
            <w:tcBorders>
              <w:top w:val="single" w:sz="8" w:space="0" w:color="A8D08D" w:themeColor="accent6" w:themeTint="99"/>
              <w:bottom w:val="single" w:sz="8" w:space="0" w:color="auto"/>
            </w:tcBorders>
            <w:vAlign w:val="center"/>
          </w:tcPr>
          <w:p w:rsidR="008775ED" w:rsidRPr="006C7B09" w:rsidRDefault="00A419B4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Порески приходи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и социјални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допринос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и</w:t>
            </w:r>
          </w:p>
        </w:tc>
        <w:tc>
          <w:tcPr>
            <w:tcW w:w="2194" w:type="dxa"/>
            <w:tcBorders>
              <w:top w:val="single" w:sz="8" w:space="0" w:color="A8D08D" w:themeColor="accent6" w:themeTint="99"/>
              <w:bottom w:val="single" w:sz="8" w:space="0" w:color="auto"/>
            </w:tcBorders>
            <w:vAlign w:val="center"/>
          </w:tcPr>
          <w:p w:rsidR="008775ED" w:rsidRPr="006C7B09" w:rsidRDefault="007901EE" w:rsidP="007248F0">
            <w:pPr>
              <w:spacing w:line="276" w:lineRule="auto"/>
              <w:rPr>
                <w:rFonts w:asciiTheme="majorHAnsi" w:hAnsiTheme="majorHAnsi" w:cstheme="majorHAnsi"/>
                <w:sz w:val="20"/>
                <w:szCs w:val="20"/>
                <w:lang w:val="sr-Cyrl-RS"/>
              </w:rPr>
            </w:pP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1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по години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(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референтна година 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 xml:space="preserve">+ 9 </w:t>
            </w:r>
            <w:r w:rsidR="006416C7"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месеци</w:t>
            </w:r>
            <w:r w:rsidRPr="006C7B09">
              <w:rPr>
                <w:rFonts w:asciiTheme="majorHAnsi" w:hAnsiTheme="majorHAnsi" w:cstheme="majorHAnsi"/>
                <w:sz w:val="20"/>
                <w:szCs w:val="20"/>
                <w:lang w:val="sr-Cyrl-RS"/>
              </w:rPr>
              <w:t>)</w:t>
            </w:r>
          </w:p>
        </w:tc>
      </w:tr>
    </w:tbl>
    <w:p w:rsidR="00A419B4" w:rsidRPr="006C7B09" w:rsidRDefault="00A419B4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A419B4" w:rsidRDefault="00A419B4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Брза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/флеш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процена бруто домаћег производа објављује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30 дана 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 истеку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референтног квартала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у форми стопе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реалн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ог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раста 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кварталног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бруто домаћег производа 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(процентуална промена према истом кварталу </w:t>
      </w:r>
      <w:r w:rsidR="006416C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lastRenderedPageBreak/>
        <w:t>претходне године)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. </w:t>
      </w:r>
      <w:r w:rsidR="00A8028F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Резултати детаљних кварталних обрачуна извршених према производном и расходном приступу објављују се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60 дана </w:t>
      </w:r>
      <w:r w:rsidR="00A8028F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 истеку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референтног квартала. </w:t>
      </w:r>
      <w:r w:rsidR="00A8028F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Подаци се публикују на нивоу </w:t>
      </w:r>
      <w:r w:rsidR="00B401B0">
        <w:rPr>
          <w:rFonts w:asciiTheme="majorHAnsi" w:eastAsiaTheme="minorHAnsi" w:hAnsiTheme="majorHAnsi" w:cstheme="majorHAnsi"/>
          <w:sz w:val="20"/>
          <w:szCs w:val="20"/>
          <w:lang w:val="sr-Cyrl-RS"/>
        </w:rPr>
        <w:t>сектора (</w:t>
      </w:r>
      <w:bookmarkStart w:id="2" w:name="_GoBack"/>
      <w:r w:rsidR="00A8028F" w:rsidRPr="00B401B0">
        <w:rPr>
          <w:rFonts w:asciiTheme="majorHAnsi" w:eastAsiaTheme="minorHAnsi" w:hAnsiTheme="majorHAnsi" w:cstheme="majorHAnsi"/>
          <w:i/>
          <w:sz w:val="20"/>
          <w:szCs w:val="20"/>
          <w:lang w:val="sr-Cyrl-RS"/>
        </w:rPr>
        <w:t>А</w:t>
      </w:r>
      <w:r w:rsidR="00B401B0" w:rsidRPr="00B401B0">
        <w:rPr>
          <w:rFonts w:asciiTheme="majorHAnsi" w:eastAsiaTheme="minorHAnsi" w:hAnsiTheme="majorHAnsi" w:cstheme="majorHAnsi"/>
          <w:i/>
          <w:sz w:val="20"/>
          <w:szCs w:val="20"/>
          <w:lang w:val="sr-Cyrl-RS"/>
        </w:rPr>
        <w:t>*</w:t>
      </w:r>
      <w:r w:rsidR="00A8028F" w:rsidRPr="00B401B0">
        <w:rPr>
          <w:rFonts w:asciiTheme="majorHAnsi" w:eastAsiaTheme="minorHAnsi" w:hAnsiTheme="majorHAnsi" w:cstheme="majorHAnsi"/>
          <w:i/>
          <w:sz w:val="20"/>
          <w:szCs w:val="20"/>
          <w:lang w:val="sr-Cyrl-RS"/>
        </w:rPr>
        <w:t>10</w:t>
      </w:r>
      <w:bookmarkEnd w:id="2"/>
      <w:r w:rsidR="00B401B0">
        <w:rPr>
          <w:rFonts w:asciiTheme="majorHAnsi" w:eastAsiaTheme="minorHAnsi" w:hAnsiTheme="majorHAnsi" w:cstheme="majorHAnsi"/>
          <w:sz w:val="20"/>
          <w:szCs w:val="20"/>
          <w:lang w:val="sr-Cyrl-RS"/>
        </w:rPr>
        <w:t>)</w:t>
      </w:r>
      <w:r w:rsidR="00A8028F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Класификације делатности и главних агрегата употребе БДП-а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DE4252" w:rsidRPr="006C7B09" w:rsidRDefault="00DE4252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547FA6" w:rsidRDefault="005A5613" w:rsidP="00265181">
      <w:pPr>
        <w:spacing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Годишњи бруто домаћи производ 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објављ</w:t>
      </w:r>
      <w:r w:rsidR="00547FA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ује се </w:t>
      </w:r>
      <w:r w:rsidR="00DE4252">
        <w:rPr>
          <w:rFonts w:asciiTheme="majorHAnsi" w:eastAsiaTheme="minorHAnsi" w:hAnsiTheme="majorHAnsi" w:cstheme="majorHAnsi"/>
          <w:sz w:val="20"/>
          <w:szCs w:val="20"/>
          <w:lang w:val="sr-Cyrl-RS"/>
        </w:rPr>
        <w:t>четири</w:t>
      </w:r>
      <w:r w:rsidR="00547FA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пута</w:t>
      </w:r>
      <w:r w:rsidR="009A3837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:</w:t>
      </w:r>
    </w:p>
    <w:p w:rsidR="00DE4252" w:rsidRPr="00DE4252" w:rsidRDefault="00DE4252" w:rsidP="00B6119D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процена, </w:t>
      </w:r>
      <w:r w:rsidR="00B6119D" w:rsidRPr="00B6119D">
        <w:rPr>
          <w:rFonts w:asciiTheme="majorHAnsi" w:hAnsiTheme="majorHAnsi" w:cstheme="majorHAnsi"/>
          <w:sz w:val="20"/>
          <w:szCs w:val="20"/>
          <w:lang w:val="sr-Cyrl-RS"/>
        </w:rPr>
        <w:t xml:space="preserve">у виду стопе раста БДП-а, посљедњег радног дана референтне године у виду </w:t>
      </w:r>
      <w:r w:rsidR="00B6119D">
        <w:rPr>
          <w:rFonts w:asciiTheme="majorHAnsi" w:hAnsiTheme="majorHAnsi" w:cstheme="majorHAnsi"/>
          <w:sz w:val="20"/>
          <w:szCs w:val="20"/>
          <w:lang w:val="sr-Cyrl-RS"/>
        </w:rPr>
        <w:t>статистичког саопштења Економска</w:t>
      </w:r>
      <w:r w:rsidR="00B6119D" w:rsidRPr="00B6119D">
        <w:rPr>
          <w:rFonts w:asciiTheme="majorHAnsi" w:hAnsiTheme="majorHAnsi" w:cstheme="majorHAnsi"/>
          <w:sz w:val="20"/>
          <w:szCs w:val="20"/>
          <w:lang w:val="sr-Cyrl-RS"/>
        </w:rPr>
        <w:t xml:space="preserve"> кретања;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</w:p>
    <w:p w:rsidR="00547FA6" w:rsidRPr="006C7B09" w:rsidRDefault="009A3837" w:rsidP="00547FA6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процена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>, добијена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као сума четири кварталне вредности БДП-а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B419F6">
        <w:rPr>
          <w:rFonts w:ascii="Arial" w:hAnsi="Arial" w:cs="Arial"/>
          <w:sz w:val="20"/>
          <w:szCs w:val="20"/>
          <w:lang w:val="sr-Cyrl-RS"/>
        </w:rPr>
        <w:t>‒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крајем фебруара</w:t>
      </w:r>
      <w:r w:rsidR="00F35585" w:rsidRPr="006C7B09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за претходну годину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;</w:t>
      </w:r>
    </w:p>
    <w:p w:rsidR="00547FA6" w:rsidRPr="006C7B09" w:rsidRDefault="00547FA6" w:rsidP="00547FA6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пре</w:t>
      </w:r>
      <w:r w:rsidR="001A3B88" w:rsidRPr="006C7B09">
        <w:rPr>
          <w:rFonts w:asciiTheme="majorHAnsi" w:hAnsiTheme="majorHAnsi" w:cstheme="majorHAnsi"/>
          <w:sz w:val="20"/>
          <w:szCs w:val="20"/>
          <w:lang w:val="sr-Cyrl-RS"/>
        </w:rPr>
        <w:t>тходни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подаци, као резултат годишњег обрачуна БДП-а </w:t>
      </w:r>
      <w:r w:rsidR="00B419F6">
        <w:rPr>
          <w:rFonts w:ascii="Arial" w:hAnsi="Arial" w:cs="Arial"/>
          <w:sz w:val="20"/>
          <w:szCs w:val="20"/>
          <w:lang w:val="sr-Cyrl-RS"/>
        </w:rPr>
        <w:t>‒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крајем септембра</w:t>
      </w:r>
      <w:r w:rsidR="00F35585" w:rsidRPr="006C7B09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за претходну годину</w:t>
      </w:r>
      <w:r w:rsidR="00B419F6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="00514D6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</w:t>
      </w:r>
    </w:p>
    <w:p w:rsidR="00514D67" w:rsidRPr="006C7B09" w:rsidRDefault="004A6443" w:rsidP="004A6443">
      <w:pPr>
        <w:pStyle w:val="ListParagraph"/>
        <w:numPr>
          <w:ilvl w:val="0"/>
          <w:numId w:val="28"/>
        </w:num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коначни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подаци, на основу резултата табела понуде и употребе и инпут-аутпут табела, </w:t>
      </w:r>
      <w:r w:rsidR="009A383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годину дана 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>након пре</w:t>
      </w:r>
      <w:r w:rsidR="003B57C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тходних </w:t>
      </w:r>
      <w:r w:rsidR="00547FA6" w:rsidRPr="006C7B09">
        <w:rPr>
          <w:rFonts w:asciiTheme="majorHAnsi" w:hAnsiTheme="majorHAnsi" w:cstheme="majorHAnsi"/>
          <w:sz w:val="20"/>
          <w:szCs w:val="20"/>
          <w:lang w:val="sr-Cyrl-RS"/>
        </w:rPr>
        <w:t>података</w:t>
      </w:r>
      <w:r w:rsidR="00514D67"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641A8E" w:rsidRPr="006C7B09" w:rsidRDefault="00547FA6" w:rsidP="00514D67">
      <w:pPr>
        <w:pStyle w:val="ListParagraph"/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</w:p>
    <w:p w:rsidR="00721264" w:rsidRPr="0007619F" w:rsidRDefault="0097526E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Потпуни сет г</w:t>
      </w:r>
      <w:r w:rsidR="00E731D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одишњи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х</w:t>
      </w:r>
      <w:r w:rsidR="00E731D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н</w:t>
      </w:r>
      <w:r w:rsidR="0072126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ефинансијски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х</w:t>
      </w:r>
      <w:r w:rsidR="0072126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секторски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х рачуна (за укупну економију, као и по институционалним секторима) објављује</w:t>
      </w:r>
      <w:r w:rsidR="0072126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 једном годишње</w:t>
      </w:r>
      <w:r w:rsidR="00E731D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11 месеци по истеку референтне године</w:t>
      </w:r>
      <w:r w:rsidR="00E731D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721264" w:rsidRPr="0007619F" w:rsidRDefault="00721264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641A8E" w:rsidRPr="006C7B09" w:rsidRDefault="00641A8E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Регионални рачуни </w:t>
      </w:r>
      <w:r w:rsidR="000D0051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објављују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FE797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се 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два пута годишње.</w:t>
      </w:r>
      <w:r w:rsidR="00FE797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Публикација која се објављује у новембру је у </w:t>
      </w:r>
      <w:r w:rsidR="00FE7974"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>форми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саопштења </w:t>
      </w:r>
      <w:r w:rsidR="00B419F6">
        <w:rPr>
          <w:rFonts w:ascii="Arial" w:eastAsiaTheme="minorHAnsi" w:hAnsi="Arial" w:cs="Arial"/>
          <w:sz w:val="20"/>
          <w:szCs w:val="20"/>
          <w:lang w:val="sr-Cyrl-RS"/>
        </w:rPr>
        <w:t>‒</w:t>
      </w:r>
      <w:r w:rsidRPr="0007619F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БДП по регионима, док се у марту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објављује радн</w:t>
      </w:r>
      <w:r w:rsidR="00FE7974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документ са детаљн</w:t>
      </w:r>
      <w:r w:rsidR="00FE7974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м </w:t>
      </w:r>
      <w:r w:rsidR="00FE7974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поделом на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категориј</w:t>
      </w:r>
      <w:r w:rsidR="00FE7974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FE7974" w:rsidRPr="006C7B09" w:rsidRDefault="00FE7974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Latn-RS"/>
        </w:rPr>
      </w:pPr>
    </w:p>
    <w:p w:rsidR="00641A8E" w:rsidRPr="006C7B09" w:rsidRDefault="00641A8E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Табеле понуде и употребе </w:t>
      </w:r>
      <w:r w:rsidR="00BA43B1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објављују се једном годишње</w:t>
      </w:r>
      <w:r w:rsidR="00B9514D">
        <w:rPr>
          <w:rFonts w:asciiTheme="majorHAnsi" w:eastAsiaTheme="minorHAnsi" w:hAnsiTheme="majorHAnsi" w:cstheme="majorHAnsi"/>
          <w:sz w:val="20"/>
          <w:szCs w:val="20"/>
          <w:lang w:val="sr-Latn-RS"/>
        </w:rPr>
        <w:t>,</w:t>
      </w:r>
      <w:r w:rsidR="00BA43B1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BA43B1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инпут-аутпут табеле</w:t>
      </w:r>
      <w:r w:rsidR="00BA43B1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сваке пете године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21 месец </w:t>
      </w:r>
      <w:r w:rsidR="005556C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 истеку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референтне године.</w:t>
      </w:r>
    </w:p>
    <w:p w:rsidR="00B47190" w:rsidRPr="006C7B09" w:rsidRDefault="00B47190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p w:rsidR="00666F59" w:rsidRPr="006C7B09" w:rsidRDefault="00666F59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Порески приходи и социјални доприноси објављују се једном годишње, 9 месеци </w:t>
      </w:r>
      <w:r w:rsidR="00B4719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 истеку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референтне године.</w:t>
      </w:r>
    </w:p>
    <w:p w:rsidR="008775ED" w:rsidRPr="006C7B09" w:rsidRDefault="008775ED" w:rsidP="008775ED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</w:rPr>
      </w:pPr>
    </w:p>
    <w:p w:rsidR="00341C68" w:rsidRPr="006C7B09" w:rsidRDefault="00341C68">
      <w:pPr>
        <w:rPr>
          <w:rFonts w:asciiTheme="majorHAnsi" w:eastAsiaTheme="minorHAnsi" w:hAnsiTheme="majorHAnsi" w:cstheme="majorHAnsi"/>
          <w:b/>
          <w:bCs/>
          <w:smallCaps/>
          <w:color w:val="000000" w:themeColor="text1"/>
          <w:sz w:val="36"/>
          <w:szCs w:val="36"/>
          <w:lang w:val="sr-Cyrl-RS"/>
        </w:rPr>
      </w:pPr>
      <w:r w:rsidRPr="006C7B09">
        <w:rPr>
          <w:rFonts w:asciiTheme="majorHAnsi" w:eastAsiaTheme="minorHAnsi" w:hAnsiTheme="majorHAnsi" w:cstheme="majorHAnsi"/>
          <w:lang w:val="sr-Cyrl-RS"/>
        </w:rPr>
        <w:br w:type="page"/>
      </w:r>
    </w:p>
    <w:p w:rsidR="008775ED" w:rsidRPr="006C7B09" w:rsidRDefault="00666F59" w:rsidP="008775ED">
      <w:pPr>
        <w:pStyle w:val="Heading1"/>
        <w:rPr>
          <w:rFonts w:eastAsiaTheme="minorHAnsi" w:cstheme="majorHAnsi"/>
        </w:rPr>
      </w:pPr>
      <w:bookmarkStart w:id="3" w:name="_Toc52283275"/>
      <w:r w:rsidRPr="006C7B09">
        <w:rPr>
          <w:rFonts w:eastAsiaTheme="minorHAnsi" w:cstheme="majorHAnsi"/>
          <w:lang w:val="sr-Cyrl-RS"/>
        </w:rPr>
        <w:lastRenderedPageBreak/>
        <w:t>Текуће ревизије</w:t>
      </w:r>
      <w:bookmarkEnd w:id="3"/>
    </w:p>
    <w:p w:rsidR="00280402" w:rsidRDefault="00280402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</w:pPr>
    </w:p>
    <w:p w:rsidR="00666F59" w:rsidRDefault="00666F59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Текуће ревизије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су,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због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свој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е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природ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е,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саставни део процеса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производње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статистичких података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(нпр.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п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роцењене вредности за податке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који су недостајали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мењ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а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ју се подацима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добијеним из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статистички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х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истраживањ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а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).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Оне се углавном спроводе због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континуиран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ог дотока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нових информација и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доступности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нових података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који се односе на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прошлост.</w:t>
      </w:r>
    </w:p>
    <w:p w:rsidR="00A33434" w:rsidRPr="006C7B09" w:rsidRDefault="00A33434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</w:pPr>
    </w:p>
    <w:p w:rsidR="001A3B88" w:rsidRDefault="00666F59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Текуће ревизије с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у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планира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не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, најављују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се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и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редовно се обављају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према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назначеним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датумима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у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месечној, кварталној и годишњој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периодици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. </w:t>
      </w:r>
    </w:p>
    <w:p w:rsidR="00A33434" w:rsidRPr="006C7B09" w:rsidRDefault="00A33434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</w:pPr>
    </w:p>
    <w:p w:rsidR="00666F59" w:rsidRDefault="007865BD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Ове ревизије су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превасходно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ор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јентисане на краткорочне статистике, које су чешће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изложене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променама због краћег временског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размака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између периода на који се подаци односе и датума њиховог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публиковања, али се могу спроводити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и 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код 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годиш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њ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и</w:t>
      </w:r>
      <w:r w:rsidR="001A3B88"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>х</w:t>
      </w:r>
      <w:r w:rsidRPr="006C7B09"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  <w:t xml:space="preserve"> статистика.</w:t>
      </w:r>
    </w:p>
    <w:p w:rsidR="00A33434" w:rsidRPr="006C7B09" w:rsidRDefault="00A33434" w:rsidP="00A33434">
      <w:pPr>
        <w:spacing w:after="0"/>
        <w:jc w:val="both"/>
        <w:rPr>
          <w:rFonts w:asciiTheme="majorHAnsi" w:eastAsiaTheme="minorHAnsi" w:hAnsiTheme="majorHAnsi" w:cstheme="majorHAnsi"/>
          <w:bCs/>
          <w:sz w:val="20"/>
          <w:szCs w:val="20"/>
          <w:lang w:val="sr-Cyrl-RS"/>
        </w:rPr>
      </w:pPr>
    </w:p>
    <w:p w:rsidR="004560A2" w:rsidRPr="006C7B09" w:rsidRDefault="005565E9" w:rsidP="00F32202">
      <w:pPr>
        <w:jc w:val="center"/>
        <w:rPr>
          <w:rFonts w:asciiTheme="majorHAnsi" w:hAnsiTheme="majorHAnsi" w:cstheme="majorHAnsi"/>
          <w:b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b/>
          <w:bCs/>
          <w:sz w:val="20"/>
          <w:szCs w:val="20"/>
          <w:lang w:val="sr-Cyrl-RS"/>
        </w:rPr>
        <w:t>Основни агрегати н</w:t>
      </w:r>
      <w:r w:rsidR="007865BD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ационални</w:t>
      </w:r>
      <w:r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 xml:space="preserve">х </w:t>
      </w:r>
      <w:r w:rsidR="007865BD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рачун</w:t>
      </w:r>
      <w:r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а</w:t>
      </w:r>
      <w:r w:rsidR="007865BD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 xml:space="preserve">, квартални подаци </w:t>
      </w: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6"/>
        <w:gridCol w:w="1430"/>
        <w:gridCol w:w="1868"/>
        <w:gridCol w:w="1864"/>
        <w:gridCol w:w="1872"/>
      </w:tblGrid>
      <w:tr w:rsidR="007865BD" w:rsidRPr="006C7B09" w:rsidTr="00D21DC9">
        <w:trPr>
          <w:trHeight w:val="416"/>
          <w:jc w:val="center"/>
        </w:trPr>
        <w:tc>
          <w:tcPr>
            <w:tcW w:w="2326" w:type="dxa"/>
            <w:tcBorders>
              <w:top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CD3DBB" w:rsidRPr="006C7B09" w:rsidRDefault="00CD3DBB" w:rsidP="008775ED">
            <w:pPr>
              <w:spacing w:before="24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7034" w:type="dxa"/>
            <w:gridSpan w:val="4"/>
            <w:tcBorders>
              <w:top w:val="single" w:sz="8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:rsidR="00CD3DBB" w:rsidRPr="006C7B09" w:rsidRDefault="007865BD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Датум 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публиковања</w:t>
            </w:r>
          </w:p>
        </w:tc>
      </w:tr>
      <w:tr w:rsidR="00C1276B" w:rsidRPr="006C7B09" w:rsidTr="00D21DC9">
        <w:trPr>
          <w:trHeight w:val="387"/>
          <w:jc w:val="center"/>
        </w:trPr>
        <w:tc>
          <w:tcPr>
            <w:tcW w:w="2326" w:type="dxa"/>
            <w:tcBorders>
              <w:top w:val="nil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CD3DBB" w:rsidRPr="006C7B09" w:rsidRDefault="007865BD" w:rsidP="008A338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Година</w:t>
            </w:r>
            <w:r w:rsidR="00CD3DBB"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</w:t>
            </w:r>
          </w:p>
        </w:tc>
        <w:tc>
          <w:tcPr>
            <w:tcW w:w="1430" w:type="dxa"/>
            <w:tcBorders>
              <w:top w:val="nil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921B49" w:rsidRPr="006C7B09" w:rsidRDefault="00C26B86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28/29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ф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ебруар</w:t>
            </w:r>
          </w:p>
        </w:tc>
        <w:tc>
          <w:tcPr>
            <w:tcW w:w="1868" w:type="dxa"/>
            <w:tcBorders>
              <w:top w:val="nil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CD3DBB" w:rsidRPr="006C7B09" w:rsidRDefault="00C26B86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31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м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ај</w:t>
            </w:r>
          </w:p>
        </w:tc>
        <w:tc>
          <w:tcPr>
            <w:tcW w:w="1864" w:type="dxa"/>
            <w:tcBorders>
              <w:top w:val="nil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CD3DBB" w:rsidRPr="006C7B09" w:rsidRDefault="00C26B86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31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а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вгуст</w:t>
            </w:r>
          </w:p>
        </w:tc>
        <w:tc>
          <w:tcPr>
            <w:tcW w:w="1872" w:type="dxa"/>
            <w:tcBorders>
              <w:top w:val="nil"/>
              <w:bottom w:val="single" w:sz="8" w:space="0" w:color="A8D08D" w:themeColor="accent6" w:themeTint="99"/>
            </w:tcBorders>
            <w:shd w:val="clear" w:color="auto" w:fill="E2EFD9" w:themeFill="accent6" w:themeFillTint="33"/>
            <w:vAlign w:val="center"/>
          </w:tcPr>
          <w:p w:rsidR="00CD3DBB" w:rsidRPr="006C7B09" w:rsidRDefault="00C26B86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30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C1276B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н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овембар</w:t>
            </w:r>
          </w:p>
        </w:tc>
      </w:tr>
      <w:tr w:rsidR="00CD3DBB" w:rsidRPr="006C7B09" w:rsidTr="00D21DC9">
        <w:trPr>
          <w:jc w:val="center"/>
        </w:trPr>
        <w:tc>
          <w:tcPr>
            <w:tcW w:w="9360" w:type="dxa"/>
            <w:gridSpan w:val="5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C5E0B3" w:themeFill="accent6" w:themeFillTint="66"/>
            <w:vAlign w:val="center"/>
          </w:tcPr>
          <w:p w:rsidR="00CD3DBB" w:rsidRPr="006C7B09" w:rsidRDefault="00C1276B" w:rsidP="0069209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Оригинални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 подаци </w:t>
            </w:r>
          </w:p>
        </w:tc>
      </w:tr>
      <w:tr w:rsidR="00C1276B" w:rsidRPr="006C7B09" w:rsidTr="00D21DC9">
        <w:trPr>
          <w:trHeight w:val="584"/>
          <w:jc w:val="center"/>
        </w:trPr>
        <w:tc>
          <w:tcPr>
            <w:tcW w:w="2326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CD3DBB" w:rsidRPr="006C7B09" w:rsidRDefault="00C1276B" w:rsidP="001A4420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Последњи </w:t>
            </w:r>
            <w:r w:rsidR="001A4420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квартал за који су доступни подаци</w:t>
            </w:r>
            <w:r w:rsidR="007865B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30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CD3DBB" w:rsidRPr="006C7B09" w:rsidRDefault="007865B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="00CD3DBB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t-1, Q4</w:t>
            </w:r>
          </w:p>
        </w:tc>
        <w:tc>
          <w:tcPr>
            <w:tcW w:w="1868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CD3DBB" w:rsidRPr="006C7B09" w:rsidRDefault="007865B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="00CD3DBB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t, Q1</w:t>
            </w:r>
          </w:p>
        </w:tc>
        <w:tc>
          <w:tcPr>
            <w:tcW w:w="186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CD3DBB" w:rsidRPr="006C7B09" w:rsidRDefault="007865B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="00CD3DBB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t, Q2</w:t>
            </w:r>
          </w:p>
        </w:tc>
        <w:tc>
          <w:tcPr>
            <w:tcW w:w="1872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CD3DBB" w:rsidRPr="006C7B09" w:rsidRDefault="007865B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="00CD3DBB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t, Q3</w:t>
            </w:r>
          </w:p>
        </w:tc>
      </w:tr>
      <w:tr w:rsidR="001A4420" w:rsidRPr="006C7B09" w:rsidTr="00D21DC9">
        <w:trPr>
          <w:trHeight w:val="494"/>
          <w:jc w:val="center"/>
        </w:trPr>
        <w:tc>
          <w:tcPr>
            <w:tcW w:w="2326" w:type="dxa"/>
            <w:vMerge w:val="restart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1A4420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Дужина ревидиране временске серије (максимална)</w:t>
            </w:r>
          </w:p>
        </w:tc>
        <w:tc>
          <w:tcPr>
            <w:tcW w:w="1430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3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квартала</w:t>
            </w:r>
          </w:p>
        </w:tc>
        <w:tc>
          <w:tcPr>
            <w:tcW w:w="1868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8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квартала</w:t>
            </w:r>
          </w:p>
        </w:tc>
        <w:tc>
          <w:tcPr>
            <w:tcW w:w="186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квартал</w:t>
            </w:r>
          </w:p>
        </w:tc>
        <w:tc>
          <w:tcPr>
            <w:tcW w:w="1872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1276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10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квартала</w:t>
            </w:r>
          </w:p>
        </w:tc>
      </w:tr>
      <w:tr w:rsidR="001A4420" w:rsidRPr="006C7B09" w:rsidTr="00D21DC9">
        <w:trPr>
          <w:trHeight w:val="1007"/>
          <w:jc w:val="center"/>
        </w:trPr>
        <w:tc>
          <w:tcPr>
            <w:tcW w:w="2326" w:type="dxa"/>
            <w:vMerge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1A4420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1276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t-1,</w:t>
            </w:r>
          </w:p>
          <w:p w:rsidR="001A4420" w:rsidRPr="006C7B09" w:rsidRDefault="001A4420" w:rsidP="001A442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>Q1-Q3</w:t>
            </w:r>
          </w:p>
        </w:tc>
        <w:tc>
          <w:tcPr>
            <w:tcW w:w="1868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>t-1, Q1–Q4</w:t>
            </w:r>
          </w:p>
          <w:p w:rsidR="001A4420" w:rsidRPr="006C7B09" w:rsidRDefault="001A4420" w:rsidP="007248F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t-2, Q1–Q4</w:t>
            </w:r>
          </w:p>
        </w:tc>
        <w:tc>
          <w:tcPr>
            <w:tcW w:w="1864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7248F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t, Q1</w:t>
            </w:r>
          </w:p>
        </w:tc>
        <w:tc>
          <w:tcPr>
            <w:tcW w:w="1872" w:type="dxa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vAlign w:val="center"/>
          </w:tcPr>
          <w:p w:rsidR="001A4420" w:rsidRPr="006C7B09" w:rsidRDefault="001A4420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t, Q1–Q2</w:t>
            </w:r>
          </w:p>
          <w:p w:rsidR="001A4420" w:rsidRPr="006C7B09" w:rsidRDefault="001A4420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>t-1, Q1–Q4</w:t>
            </w:r>
          </w:p>
          <w:p w:rsidR="001A4420" w:rsidRPr="006C7B09" w:rsidRDefault="001A4420" w:rsidP="001E0B5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t-2, Q1–Q4</w:t>
            </w:r>
          </w:p>
        </w:tc>
      </w:tr>
      <w:tr w:rsidR="0069209E" w:rsidRPr="006C7B09" w:rsidTr="00D21DC9">
        <w:trPr>
          <w:trHeight w:val="242"/>
          <w:jc w:val="center"/>
        </w:trPr>
        <w:tc>
          <w:tcPr>
            <w:tcW w:w="9360" w:type="dxa"/>
            <w:gridSpan w:val="5"/>
            <w:tcBorders>
              <w:top w:val="single" w:sz="8" w:space="0" w:color="A8D08D" w:themeColor="accent6" w:themeTint="99"/>
              <w:bottom w:val="single" w:sz="8" w:space="0" w:color="A8D08D" w:themeColor="accent6" w:themeTint="99"/>
            </w:tcBorders>
            <w:shd w:val="clear" w:color="auto" w:fill="C5E0B3" w:themeFill="accent6" w:themeFillTint="66"/>
            <w:vAlign w:val="center"/>
          </w:tcPr>
          <w:p w:rsidR="0069209E" w:rsidRPr="006C7B09" w:rsidRDefault="00612BCA" w:rsidP="001E0B5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Десезонирани подаци</w:t>
            </w:r>
          </w:p>
        </w:tc>
      </w:tr>
      <w:tr w:rsidR="007865BD" w:rsidRPr="006C7B09" w:rsidTr="00D21DC9">
        <w:trPr>
          <w:jc w:val="center"/>
        </w:trPr>
        <w:tc>
          <w:tcPr>
            <w:tcW w:w="2326" w:type="dxa"/>
            <w:tcBorders>
              <w:top w:val="single" w:sz="8" w:space="0" w:color="A8D08D" w:themeColor="accent6" w:themeTint="99"/>
              <w:bottom w:val="single" w:sz="8" w:space="0" w:color="000000" w:themeColor="text1"/>
            </w:tcBorders>
            <w:vAlign w:val="center"/>
          </w:tcPr>
          <w:p w:rsidR="0069209E" w:rsidRPr="006C7B09" w:rsidRDefault="001E0B5E" w:rsidP="0069209E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Дужина ревидиране временске серије (максимална)</w:t>
            </w:r>
          </w:p>
        </w:tc>
        <w:tc>
          <w:tcPr>
            <w:tcW w:w="7034" w:type="dxa"/>
            <w:gridSpan w:val="4"/>
            <w:tcBorders>
              <w:top w:val="single" w:sz="8" w:space="0" w:color="A8D08D" w:themeColor="accent6" w:themeTint="99"/>
              <w:bottom w:val="single" w:sz="8" w:space="0" w:color="000000" w:themeColor="text1"/>
            </w:tcBorders>
            <w:vAlign w:val="center"/>
          </w:tcPr>
          <w:p w:rsidR="0069209E" w:rsidRPr="006C7B09" w:rsidRDefault="00612BCA" w:rsidP="00F32202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Цела временска серија </w:t>
            </w:r>
          </w:p>
        </w:tc>
      </w:tr>
    </w:tbl>
    <w:p w:rsidR="004560A2" w:rsidRPr="006C7B09" w:rsidRDefault="004560A2" w:rsidP="005C4ABB">
      <w:pPr>
        <w:spacing w:after="0" w:line="276" w:lineRule="auto"/>
        <w:rPr>
          <w:rFonts w:asciiTheme="majorHAnsi" w:eastAsiaTheme="minorHAnsi" w:hAnsiTheme="majorHAnsi" w:cstheme="majorHAnsi"/>
          <w:b/>
          <w:bCs/>
          <w:sz w:val="20"/>
          <w:szCs w:val="20"/>
        </w:rPr>
      </w:pPr>
    </w:p>
    <w:p w:rsidR="00AD35A4" w:rsidRDefault="00F32202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Подаци за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прва три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квартал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текуће године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подложни су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зијама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до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момента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објављивања података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четврти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квартал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текуће године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: заједно са подацима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друг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квартал објављују се ревидирани подаци за први квартал, заједно са подацима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трећ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квартал, 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објављују се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ревидирани подаци за први и други квартал</w:t>
      </w:r>
      <w:r w:rsidR="00AD763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заједно са подацима за четврт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 квартал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 објављ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ују се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ревидирани подаци за прв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 друг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и трећ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квартал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. Након објављивања података 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за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четврт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квартал, квартални 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подаци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 ревидирају само због усаглашавања са годишњи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м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3B223E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подацима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AD35A4" w:rsidRDefault="00AD35A4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F32202" w:rsidRPr="006C7B09" w:rsidRDefault="00F32202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Прва ревизија кварталних података због усаглашавања са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годишњим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подацима </w:t>
      </w:r>
      <w:r w:rsidR="00A37A2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спроводи се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када постану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расположиви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годишњи подаци, добијени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као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сума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четири квартал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не вредности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; друга ревизија врши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се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када постану доступни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резултати годишњих обрачуна (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пре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тходни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пода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ци)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а трећа када се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објаве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4A6443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ф</w:t>
      </w:r>
      <w:r w:rsidR="005C29BA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инални годишњи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подаци. У овим случајевима ревидирају се 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квартални</w:t>
      </w:r>
      <w:r w:rsidR="00A37A2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подаци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текуће и претходне 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две г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одине. Изузетак су 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де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сезони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рани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по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даци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код којих се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ревидира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ју вредности целе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временске серије</w:t>
      </w:r>
      <w:r w:rsidR="003F1EB0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.</w:t>
      </w:r>
    </w:p>
    <w:p w:rsidR="0076015D" w:rsidRPr="006C7B09" w:rsidRDefault="0076015D" w:rsidP="00286904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  <w:lang w:val="sr-Cyrl-RS"/>
        </w:rPr>
      </w:pPr>
    </w:p>
    <w:p w:rsidR="004560A2" w:rsidRPr="006C7B09" w:rsidRDefault="001A4420" w:rsidP="00286904">
      <w:pPr>
        <w:spacing w:line="276" w:lineRule="auto"/>
        <w:jc w:val="center"/>
        <w:rPr>
          <w:rFonts w:asciiTheme="majorHAnsi" w:eastAsiaTheme="minorHAnsi" w:hAnsiTheme="majorHAnsi" w:cstheme="majorHAnsi"/>
          <w:b/>
          <w:bCs/>
          <w:sz w:val="20"/>
          <w:szCs w:val="20"/>
        </w:rPr>
      </w:pPr>
      <w:r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lastRenderedPageBreak/>
        <w:t>Основни агрегати н</w:t>
      </w:r>
      <w:r w:rsidR="00612BCA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ационални</w:t>
      </w:r>
      <w:r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х</w:t>
      </w:r>
      <w:r w:rsidR="00612BCA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 xml:space="preserve"> рачун</w:t>
      </w:r>
      <w:r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а</w:t>
      </w:r>
      <w:r w:rsidR="00612BCA" w:rsidRPr="006C7B09">
        <w:rPr>
          <w:rFonts w:asciiTheme="majorHAnsi" w:hAnsiTheme="majorHAnsi" w:cstheme="majorHAnsi"/>
          <w:b/>
          <w:sz w:val="20"/>
          <w:szCs w:val="20"/>
          <w:lang w:val="sr-Cyrl-RS"/>
        </w:rPr>
        <w:t>, годишњи подаци</w:t>
      </w:r>
    </w:p>
    <w:tbl>
      <w:tblPr>
        <w:tblStyle w:val="TableGrid1"/>
        <w:tblW w:w="0" w:type="auto"/>
        <w:jc w:val="center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A8D08D" w:themeColor="accent6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5"/>
        <w:gridCol w:w="1569"/>
        <w:gridCol w:w="1894"/>
      </w:tblGrid>
      <w:tr w:rsidR="004560A2" w:rsidRPr="006C7B09" w:rsidTr="00DA595F">
        <w:trPr>
          <w:trHeight w:val="416"/>
          <w:jc w:val="center"/>
        </w:trPr>
        <w:tc>
          <w:tcPr>
            <w:tcW w:w="2305" w:type="dxa"/>
            <w:shd w:val="clear" w:color="auto" w:fill="E2EFD9" w:themeFill="accent6" w:themeFillTint="33"/>
            <w:vAlign w:val="center"/>
          </w:tcPr>
          <w:p w:rsidR="004560A2" w:rsidRPr="006C7B09" w:rsidRDefault="004560A2" w:rsidP="008A338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463" w:type="dxa"/>
            <w:gridSpan w:val="2"/>
            <w:shd w:val="clear" w:color="auto" w:fill="E2EFD9" w:themeFill="accent6" w:themeFillTint="33"/>
            <w:vAlign w:val="center"/>
          </w:tcPr>
          <w:p w:rsidR="004560A2" w:rsidRPr="006C7B09" w:rsidRDefault="00612BCA" w:rsidP="001A44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Датум </w:t>
            </w:r>
            <w:r w:rsidR="001A4420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публиковања</w:t>
            </w:r>
          </w:p>
        </w:tc>
      </w:tr>
      <w:tr w:rsidR="00C26B86" w:rsidRPr="006C7B09" w:rsidTr="00DA595F">
        <w:trPr>
          <w:trHeight w:val="378"/>
          <w:jc w:val="center"/>
        </w:trPr>
        <w:tc>
          <w:tcPr>
            <w:tcW w:w="2305" w:type="dxa"/>
            <w:shd w:val="clear" w:color="auto" w:fill="E2EFD9" w:themeFill="accent6" w:themeFillTint="33"/>
            <w:vAlign w:val="center"/>
          </w:tcPr>
          <w:p w:rsidR="00C26B86" w:rsidRPr="006C7B09" w:rsidRDefault="00612BCA" w:rsidP="008A3384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Година</w:t>
            </w:r>
            <w:r w:rsidR="00C26B86"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</w:t>
            </w:r>
          </w:p>
        </w:tc>
        <w:tc>
          <w:tcPr>
            <w:tcW w:w="1569" w:type="dxa"/>
            <w:shd w:val="clear" w:color="auto" w:fill="E2EFD9" w:themeFill="accent6" w:themeFillTint="33"/>
            <w:vAlign w:val="center"/>
          </w:tcPr>
          <w:p w:rsidR="00C26B86" w:rsidRPr="006C7B09" w:rsidRDefault="00C26B86" w:rsidP="001A44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28/29</w:t>
            </w:r>
            <w:r w:rsidR="001A4420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</w:t>
            </w:r>
            <w:r w:rsidR="001A4420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ф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ебруар</w:t>
            </w:r>
          </w:p>
        </w:tc>
        <w:tc>
          <w:tcPr>
            <w:tcW w:w="1894" w:type="dxa"/>
            <w:shd w:val="clear" w:color="auto" w:fill="E2EFD9" w:themeFill="accent6" w:themeFillTint="33"/>
            <w:vAlign w:val="center"/>
          </w:tcPr>
          <w:p w:rsidR="00C26B86" w:rsidRPr="006C7B09" w:rsidRDefault="00C26B86" w:rsidP="001A44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30</w:t>
            </w:r>
            <w:r w:rsidR="001A4420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 с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ептембар</w:t>
            </w:r>
          </w:p>
        </w:tc>
      </w:tr>
      <w:tr w:rsidR="00C26B86" w:rsidRPr="006C7B09" w:rsidTr="00DA595F">
        <w:trPr>
          <w:trHeight w:val="665"/>
          <w:jc w:val="center"/>
        </w:trPr>
        <w:tc>
          <w:tcPr>
            <w:tcW w:w="2305" w:type="dxa"/>
            <w:vAlign w:val="center"/>
          </w:tcPr>
          <w:p w:rsidR="00C26B86" w:rsidRPr="006C7B09" w:rsidRDefault="00612BCA" w:rsidP="0076015D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Последњ</w:t>
            </w:r>
            <w:r w:rsidR="0076015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а година за коју су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доступни </w:t>
            </w:r>
            <w:r w:rsidR="0076015D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одаци </w:t>
            </w:r>
          </w:p>
        </w:tc>
        <w:tc>
          <w:tcPr>
            <w:tcW w:w="1569" w:type="dxa"/>
            <w:vAlign w:val="center"/>
          </w:tcPr>
          <w:p w:rsidR="00C26B86" w:rsidRPr="006C7B09" w:rsidRDefault="0076015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</w:t>
            </w:r>
            <w:r w:rsidR="00612BCA"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t-1</w:t>
            </w:r>
          </w:p>
        </w:tc>
        <w:tc>
          <w:tcPr>
            <w:tcW w:w="1894" w:type="dxa"/>
            <w:vAlign w:val="center"/>
          </w:tcPr>
          <w:p w:rsidR="00C26B86" w:rsidRPr="006C7B09" w:rsidRDefault="0076015D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</w:t>
            </w:r>
            <w:r w:rsidR="00612BCA"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t-1</w:t>
            </w:r>
          </w:p>
        </w:tc>
      </w:tr>
      <w:tr w:rsidR="00C26B86" w:rsidRPr="006C7B09" w:rsidTr="00DA595F">
        <w:trPr>
          <w:trHeight w:val="1160"/>
          <w:jc w:val="center"/>
        </w:trPr>
        <w:tc>
          <w:tcPr>
            <w:tcW w:w="2305" w:type="dxa"/>
            <w:vAlign w:val="center"/>
          </w:tcPr>
          <w:p w:rsidR="00C26B86" w:rsidRPr="006C7B09" w:rsidRDefault="0076015D" w:rsidP="00F32202">
            <w:pPr>
              <w:rPr>
                <w:rFonts w:asciiTheme="majorHAnsi" w:hAnsiTheme="majorHAnsi" w:cstheme="majorHAnsi"/>
                <w:b/>
                <w:sz w:val="18"/>
                <w:szCs w:val="18"/>
                <w:highlight w:val="yellow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Дужина ревидиране временске серије (максимална)</w:t>
            </w:r>
          </w:p>
        </w:tc>
        <w:tc>
          <w:tcPr>
            <w:tcW w:w="1569" w:type="dxa"/>
            <w:vAlign w:val="center"/>
          </w:tcPr>
          <w:p w:rsidR="00C26B86" w:rsidRPr="006C7B09" w:rsidRDefault="00C26B86" w:rsidP="00CD3DBB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1894" w:type="dxa"/>
            <w:vAlign w:val="center"/>
          </w:tcPr>
          <w:p w:rsidR="00C26B86" w:rsidRPr="006C7B09" w:rsidRDefault="00C26B86" w:rsidP="00CD3DB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2 </w:t>
            </w:r>
            <w:r w:rsidR="00CD56C9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године</w:t>
            </w:r>
          </w:p>
          <w:p w:rsidR="007248F0" w:rsidRPr="006C7B09" w:rsidRDefault="007248F0" w:rsidP="00CD3DB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</w:p>
          <w:p w:rsidR="00C26B86" w:rsidRPr="006C7B09" w:rsidRDefault="00CD56C9" w:rsidP="004560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t-1</w:t>
            </w:r>
          </w:p>
          <w:p w:rsidR="00C26B86" w:rsidRPr="006C7B09" w:rsidRDefault="00CD56C9" w:rsidP="00CD56C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t-2</w:t>
            </w:r>
          </w:p>
        </w:tc>
      </w:tr>
    </w:tbl>
    <w:p w:rsidR="00CD56C9" w:rsidRPr="006C7B09" w:rsidRDefault="00CD56C9" w:rsidP="009470FF">
      <w:pPr>
        <w:spacing w:after="0" w:line="276" w:lineRule="auto"/>
        <w:rPr>
          <w:rFonts w:asciiTheme="majorHAnsi" w:eastAsiaTheme="minorHAnsi" w:hAnsiTheme="majorHAnsi" w:cstheme="majorHAnsi"/>
          <w:sz w:val="20"/>
          <w:szCs w:val="20"/>
          <w:lang w:val="sr-Latn-RS"/>
        </w:rPr>
      </w:pPr>
    </w:p>
    <w:p w:rsidR="00612BCA" w:rsidRDefault="00612BCA" w:rsidP="005C4ABB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Ревизиј</w:t>
      </w:r>
      <w:r w:rsidR="00CD56C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а података 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годишњих националних рачун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а врш</w:t>
      </w:r>
      <w:r w:rsidR="00CD56C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 једном годишње</w:t>
      </w:r>
      <w:r w:rsidR="00CD56C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,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крајем септембра. У години </w:t>
      </w:r>
      <w:r w:rsidR="00CD56C9" w:rsidRPr="006C7B09">
        <w:rPr>
          <w:rFonts w:asciiTheme="majorHAnsi" w:hAnsiTheme="majorHAnsi" w:cstheme="majorHAnsi"/>
          <w:sz w:val="18"/>
          <w:szCs w:val="18"/>
          <w:lang w:val="sr-Cyrl-RS"/>
        </w:rPr>
        <w:t>t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, </w:t>
      </w:r>
      <w:r w:rsidR="00CD56C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процена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годишњих </w:t>
      </w:r>
      <w:r w:rsidR="00CD56C9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података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годину </w:t>
      </w:r>
      <w:r w:rsidR="00CD56C9" w:rsidRPr="006C7B09">
        <w:rPr>
          <w:rFonts w:asciiTheme="majorHAnsi" w:hAnsiTheme="majorHAnsi" w:cstheme="majorHAnsi"/>
          <w:sz w:val="18"/>
          <w:szCs w:val="18"/>
          <w:lang w:val="sr-Cyrl-RS"/>
        </w:rPr>
        <w:t>t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-1 (добијен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а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као збир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четири квартала) ревидира се када постан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доступн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и претходни подаци, добијени као резултат годишњег обрачуна БДП-а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. Поред тога, 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претходни подаци 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за годину </w:t>
      </w:r>
      <w:r w:rsidR="00715516" w:rsidRPr="006C7B09">
        <w:rPr>
          <w:rFonts w:asciiTheme="majorHAnsi" w:hAnsiTheme="majorHAnsi" w:cstheme="majorHAnsi"/>
          <w:sz w:val="18"/>
          <w:szCs w:val="18"/>
          <w:lang w:val="sr-Cyrl-RS"/>
        </w:rPr>
        <w:t>t-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2 ревидира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ју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се на основу резултата 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т</w:t>
      </w:r>
      <w:r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абела понуде и </w:t>
      </w:r>
      <w:r w:rsidR="00715516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>употребе.</w:t>
      </w:r>
      <w:r w:rsidR="00F32202" w:rsidRPr="006C7B09">
        <w:rPr>
          <w:rFonts w:asciiTheme="majorHAnsi" w:eastAsiaTheme="minorHAnsi" w:hAnsiTheme="majorHAnsi" w:cstheme="majorHAnsi"/>
          <w:sz w:val="20"/>
          <w:szCs w:val="20"/>
          <w:lang w:val="sr-Cyrl-RS"/>
        </w:rPr>
        <w:t xml:space="preserve"> </w:t>
      </w:r>
    </w:p>
    <w:p w:rsidR="009470FF" w:rsidRPr="006C7B09" w:rsidRDefault="009470FF" w:rsidP="009470FF">
      <w:pPr>
        <w:spacing w:after="0" w:line="276" w:lineRule="auto"/>
        <w:jc w:val="both"/>
        <w:rPr>
          <w:rFonts w:asciiTheme="majorHAnsi" w:eastAsiaTheme="minorHAnsi" w:hAnsiTheme="majorHAnsi" w:cstheme="majorHAnsi"/>
          <w:sz w:val="20"/>
          <w:szCs w:val="20"/>
          <w:lang w:val="sr-Cyrl-RS"/>
        </w:rPr>
      </w:pPr>
    </w:p>
    <w:p w:rsidR="003C2890" w:rsidRPr="006C7B09" w:rsidRDefault="00612BCA" w:rsidP="003C2890">
      <w:pPr>
        <w:jc w:val="center"/>
        <w:rPr>
          <w:rFonts w:asciiTheme="majorHAnsi" w:eastAsiaTheme="minorHAnsi" w:hAnsiTheme="majorHAnsi" w:cstheme="majorHAnsi"/>
          <w:b/>
          <w:bCs/>
          <w:sz w:val="20"/>
          <w:szCs w:val="20"/>
        </w:rPr>
      </w:pPr>
      <w:r w:rsidRPr="006C7B09">
        <w:rPr>
          <w:rFonts w:asciiTheme="majorHAnsi" w:eastAsiaTheme="minorHAnsi" w:hAnsiTheme="majorHAnsi" w:cstheme="majorHAnsi"/>
          <w:b/>
          <w:bCs/>
          <w:sz w:val="20"/>
          <w:szCs w:val="20"/>
          <w:lang w:val="sr-Cyrl-RS"/>
        </w:rPr>
        <w:t xml:space="preserve">Регионални подаци </w:t>
      </w:r>
    </w:p>
    <w:tbl>
      <w:tblPr>
        <w:tblStyle w:val="TableGrid1"/>
        <w:tblW w:w="0" w:type="auto"/>
        <w:tblInd w:w="1875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8D08D" w:themeColor="accent6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1"/>
        <w:gridCol w:w="1429"/>
        <w:gridCol w:w="1870"/>
      </w:tblGrid>
      <w:tr w:rsidR="003C2890" w:rsidRPr="006C7B09" w:rsidTr="00DA595F">
        <w:trPr>
          <w:trHeight w:val="416"/>
        </w:trPr>
        <w:tc>
          <w:tcPr>
            <w:tcW w:w="2321" w:type="dxa"/>
            <w:shd w:val="clear" w:color="auto" w:fill="E2EFD9" w:themeFill="accent6" w:themeFillTint="33"/>
            <w:vAlign w:val="center"/>
          </w:tcPr>
          <w:p w:rsidR="003C2890" w:rsidRPr="006C7B09" w:rsidRDefault="003C2890" w:rsidP="008A3384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3299" w:type="dxa"/>
            <w:gridSpan w:val="2"/>
            <w:shd w:val="clear" w:color="auto" w:fill="E2EFD9" w:themeFill="accent6" w:themeFillTint="33"/>
            <w:vAlign w:val="center"/>
          </w:tcPr>
          <w:p w:rsidR="003C2890" w:rsidRPr="006C7B09" w:rsidRDefault="00612BCA" w:rsidP="00070A6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Датум </w:t>
            </w:r>
            <w:r w:rsidR="00070A63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публиковања</w:t>
            </w:r>
          </w:p>
        </w:tc>
      </w:tr>
      <w:tr w:rsidR="00FF7CA5" w:rsidRPr="006C7B09" w:rsidTr="00DA595F">
        <w:trPr>
          <w:trHeight w:val="416"/>
        </w:trPr>
        <w:tc>
          <w:tcPr>
            <w:tcW w:w="2321" w:type="dxa"/>
            <w:shd w:val="clear" w:color="auto" w:fill="E2EFD9" w:themeFill="accent6" w:themeFillTint="33"/>
            <w:vAlign w:val="center"/>
          </w:tcPr>
          <w:p w:rsidR="00FF7CA5" w:rsidRPr="006C7B09" w:rsidRDefault="00612BCA" w:rsidP="00FF7CA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Година </w:t>
            </w:r>
            <w:r w:rsidR="00FF7CA5"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t</w:t>
            </w:r>
          </w:p>
          <w:p w:rsidR="00FF7CA5" w:rsidRPr="006C7B09" w:rsidRDefault="00FF7CA5" w:rsidP="00FF7CA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29" w:type="dxa"/>
            <w:shd w:val="clear" w:color="auto" w:fill="E2EFD9" w:themeFill="accent6" w:themeFillTint="33"/>
            <w:vAlign w:val="center"/>
          </w:tcPr>
          <w:p w:rsidR="00FF7CA5" w:rsidRPr="006C7B09" w:rsidRDefault="00FF7CA5" w:rsidP="00070A6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31</w:t>
            </w:r>
            <w:r w:rsidR="00070A63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 м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арт</w:t>
            </w:r>
          </w:p>
        </w:tc>
        <w:tc>
          <w:tcPr>
            <w:tcW w:w="1870" w:type="dxa"/>
            <w:shd w:val="clear" w:color="auto" w:fill="E2EFD9" w:themeFill="accent6" w:themeFillTint="33"/>
            <w:vAlign w:val="center"/>
          </w:tcPr>
          <w:p w:rsidR="00FF7CA5" w:rsidRPr="006C7B09" w:rsidRDefault="00FF7CA5" w:rsidP="00070A63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>30</w:t>
            </w:r>
            <w:r w:rsidR="00070A63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. н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овембар</w:t>
            </w:r>
          </w:p>
        </w:tc>
      </w:tr>
      <w:tr w:rsidR="00C26B86" w:rsidRPr="006C7B09" w:rsidTr="00DA595F">
        <w:trPr>
          <w:trHeight w:val="773"/>
        </w:trPr>
        <w:tc>
          <w:tcPr>
            <w:tcW w:w="2321" w:type="dxa"/>
            <w:vAlign w:val="center"/>
          </w:tcPr>
          <w:p w:rsidR="00C26B86" w:rsidRPr="006C7B09" w:rsidRDefault="00612BCA" w:rsidP="00070A63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Последњ</w:t>
            </w:r>
            <w:r w:rsidR="00070A63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а година за коју су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доступни </w:t>
            </w:r>
            <w:r w:rsidR="00070A63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п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одаци </w:t>
            </w:r>
          </w:p>
        </w:tc>
        <w:tc>
          <w:tcPr>
            <w:tcW w:w="1429" w:type="dxa"/>
            <w:vAlign w:val="center"/>
          </w:tcPr>
          <w:p w:rsidR="00C26B86" w:rsidRPr="006C7B09" w:rsidRDefault="00070A63" w:rsidP="00070A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>t-2</w:t>
            </w:r>
          </w:p>
        </w:tc>
        <w:tc>
          <w:tcPr>
            <w:tcW w:w="1870" w:type="dxa"/>
            <w:vAlign w:val="center"/>
          </w:tcPr>
          <w:p w:rsidR="00C26B86" w:rsidRPr="006C7B09" w:rsidRDefault="00070A63" w:rsidP="00070A6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година 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>t-1</w:t>
            </w:r>
          </w:p>
        </w:tc>
      </w:tr>
      <w:tr w:rsidR="00C26B86" w:rsidRPr="006C7B09" w:rsidTr="00DA595F">
        <w:trPr>
          <w:trHeight w:val="980"/>
        </w:trPr>
        <w:tc>
          <w:tcPr>
            <w:tcW w:w="2321" w:type="dxa"/>
            <w:vAlign w:val="center"/>
          </w:tcPr>
          <w:p w:rsidR="00C26B86" w:rsidRPr="006C7B09" w:rsidRDefault="00472073" w:rsidP="00D35D21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Дужина ревидиране временске серије (максимална)</w:t>
            </w:r>
          </w:p>
        </w:tc>
        <w:tc>
          <w:tcPr>
            <w:tcW w:w="1429" w:type="dxa"/>
            <w:vAlign w:val="center"/>
          </w:tcPr>
          <w:p w:rsidR="00C26B86" w:rsidRPr="006C7B09" w:rsidRDefault="00C26B86" w:rsidP="00B20D7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 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година</w:t>
            </w:r>
          </w:p>
          <w:p w:rsidR="007248F0" w:rsidRPr="006C7B09" w:rsidRDefault="007248F0" w:rsidP="00B20D75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C26B86" w:rsidRPr="006C7B09" w:rsidRDefault="00472073" w:rsidP="00700B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</w:t>
            </w:r>
            <w:r w:rsidR="00612BCA"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t-3</w:t>
            </w:r>
          </w:p>
        </w:tc>
        <w:tc>
          <w:tcPr>
            <w:tcW w:w="1870" w:type="dxa"/>
            <w:vAlign w:val="center"/>
          </w:tcPr>
          <w:p w:rsidR="00C26B86" w:rsidRPr="006C7B09" w:rsidRDefault="00C26B86" w:rsidP="008D3F3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1 </w:t>
            </w:r>
            <w:r w:rsidR="00612BCA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година</w:t>
            </w:r>
          </w:p>
          <w:p w:rsidR="007248F0" w:rsidRPr="006C7B09" w:rsidRDefault="007248F0" w:rsidP="008D3F3B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:rsidR="00C26B86" w:rsidRPr="006C7B09" w:rsidRDefault="00472073" w:rsidP="00700BB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</w:t>
            </w:r>
            <w:r w:rsidR="00612BCA" w:rsidRPr="006C7B09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одина</w:t>
            </w:r>
            <w:r w:rsidR="00C26B86" w:rsidRPr="006C7B09">
              <w:rPr>
                <w:rFonts w:asciiTheme="majorHAnsi" w:hAnsiTheme="majorHAnsi" w:cstheme="majorHAnsi"/>
                <w:sz w:val="18"/>
                <w:szCs w:val="18"/>
              </w:rPr>
              <w:t xml:space="preserve"> t-2</w:t>
            </w:r>
          </w:p>
        </w:tc>
      </w:tr>
    </w:tbl>
    <w:p w:rsidR="003C2890" w:rsidRDefault="00F32202" w:rsidP="00533639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eastAsiaTheme="minorHAnsi" w:hAnsiTheme="majorHAnsi" w:cstheme="majorHAnsi"/>
          <w:sz w:val="20"/>
          <w:szCs w:val="20"/>
        </w:rPr>
        <w:br/>
      </w:r>
      <w:r w:rsidR="003B57C7" w:rsidRPr="006C7B09">
        <w:rPr>
          <w:rFonts w:asciiTheme="majorHAnsi" w:hAnsiTheme="majorHAnsi" w:cstheme="majorHAnsi"/>
          <w:sz w:val="20"/>
          <w:szCs w:val="20"/>
          <w:lang w:val="sr-Cyrl-RS"/>
        </w:rPr>
        <w:t>Претходни подаци о регионалном БДП-у за годину t-2 ревидирају се на основу резултата табела понуде и употребе и инпут-аутпут табела. У марту наредне године</w:t>
      </w:r>
      <w:r w:rsidR="00B419F6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="003B57C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на основу претходно ревидираног БДП</w:t>
      </w:r>
      <w:r w:rsidR="00B419F6">
        <w:rPr>
          <w:rFonts w:asciiTheme="majorHAnsi" w:hAnsiTheme="majorHAnsi" w:cstheme="majorHAnsi"/>
          <w:sz w:val="20"/>
          <w:szCs w:val="20"/>
          <w:lang w:val="sr-Cyrl-RS"/>
        </w:rPr>
        <w:t>-а</w:t>
      </w:r>
      <w:r w:rsidR="003B57C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на нивоу НСТЈ2</w:t>
      </w:r>
      <w:r w:rsidR="001109DA">
        <w:rPr>
          <w:rFonts w:asciiTheme="majorHAnsi" w:hAnsiTheme="majorHAnsi" w:cstheme="majorHAnsi"/>
          <w:sz w:val="20"/>
          <w:szCs w:val="20"/>
          <w:lang w:val="sr-Cyrl-RS"/>
        </w:rPr>
        <w:t>,</w:t>
      </w:r>
      <w:r w:rsidR="003B57C7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ревидирају се подаци о регионалном БДВ-у на нивоу НСТЈ3, по </w:t>
      </w:r>
      <w:r w:rsidR="003B57C7" w:rsidRPr="0007619F">
        <w:rPr>
          <w:rFonts w:asciiTheme="majorHAnsi" w:hAnsiTheme="majorHAnsi" w:cstheme="majorHAnsi"/>
          <w:sz w:val="20"/>
          <w:szCs w:val="20"/>
          <w:lang w:val="sr-Cyrl-RS"/>
        </w:rPr>
        <w:t>делатностима (А10) за годину t-3.</w:t>
      </w:r>
    </w:p>
    <w:p w:rsidR="00533639" w:rsidRPr="0007619F" w:rsidRDefault="00533639" w:rsidP="00533639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324484" w:rsidRDefault="005E4DC0" w:rsidP="00533639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07619F">
        <w:rPr>
          <w:rFonts w:asciiTheme="majorHAnsi" w:eastAsiaTheme="minorHAnsi" w:hAnsiTheme="majorHAnsi" w:cstheme="majorHAnsi"/>
          <w:i/>
          <w:sz w:val="20"/>
          <w:szCs w:val="20"/>
        </w:rPr>
        <w:t>SUT-IOT</w:t>
      </w:r>
      <w:r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F32202"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за одређену годину </w:t>
      </w:r>
      <w:r w:rsidR="00324484"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публикују се </w:t>
      </w:r>
      <w:r w:rsidR="00F32202" w:rsidRPr="0007619F">
        <w:rPr>
          <w:rFonts w:asciiTheme="majorHAnsi" w:hAnsiTheme="majorHAnsi" w:cstheme="majorHAnsi"/>
          <w:sz w:val="20"/>
          <w:szCs w:val="20"/>
          <w:lang w:val="sr-Cyrl-RS"/>
        </w:rPr>
        <w:t xml:space="preserve">само једном и не </w:t>
      </w:r>
      <w:r w:rsidR="00324484" w:rsidRPr="0007619F">
        <w:rPr>
          <w:rFonts w:asciiTheme="majorHAnsi" w:hAnsiTheme="majorHAnsi" w:cstheme="majorHAnsi"/>
          <w:sz w:val="20"/>
          <w:szCs w:val="20"/>
          <w:lang w:val="sr-Cyrl-RS"/>
        </w:rPr>
        <w:t>ревидирају се</w:t>
      </w:r>
      <w:r w:rsidR="0010741C" w:rsidRPr="0007619F">
        <w:rPr>
          <w:rFonts w:asciiTheme="majorHAnsi" w:hAnsiTheme="majorHAnsi" w:cstheme="majorHAnsi"/>
          <w:sz w:val="20"/>
          <w:szCs w:val="20"/>
          <w:lang w:val="sr-Latn-RS"/>
        </w:rPr>
        <w:t xml:space="preserve"> (</w:t>
      </w:r>
      <w:r w:rsidR="0010741C" w:rsidRPr="0007619F">
        <w:rPr>
          <w:rFonts w:asciiTheme="majorHAnsi" w:hAnsiTheme="majorHAnsi" w:cstheme="majorHAnsi"/>
          <w:sz w:val="20"/>
          <w:szCs w:val="20"/>
          <w:lang w:val="sr-Cyrl-RS"/>
        </w:rPr>
        <w:t>осим у случају великих ревизија</w:t>
      </w:r>
      <w:r w:rsidR="0010741C" w:rsidRPr="0007619F">
        <w:rPr>
          <w:rStyle w:val="FootnoteReference"/>
          <w:rFonts w:asciiTheme="majorHAnsi" w:hAnsiTheme="majorHAnsi" w:cstheme="majorHAnsi"/>
          <w:sz w:val="20"/>
          <w:szCs w:val="20"/>
          <w:lang w:val="sr-Cyrl-RS"/>
        </w:rPr>
        <w:footnoteReference w:id="3"/>
      </w:r>
      <w:r w:rsidR="0010741C" w:rsidRPr="0007619F">
        <w:rPr>
          <w:rFonts w:asciiTheme="majorHAnsi" w:hAnsiTheme="majorHAnsi" w:cstheme="majorHAnsi"/>
          <w:sz w:val="20"/>
          <w:szCs w:val="20"/>
          <w:lang w:val="sr-Cyrl-RS"/>
        </w:rPr>
        <w:t>).</w:t>
      </w:r>
    </w:p>
    <w:p w:rsidR="00533639" w:rsidRPr="006C7B09" w:rsidRDefault="00533639" w:rsidP="00533639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F32202" w:rsidRPr="006C7B09" w:rsidRDefault="00F32202" w:rsidP="00533639">
      <w:pPr>
        <w:spacing w:after="0" w:line="276" w:lineRule="auto"/>
        <w:jc w:val="both"/>
        <w:rPr>
          <w:rFonts w:asciiTheme="majorHAnsi" w:hAnsiTheme="majorHAnsi" w:cstheme="majorHAnsi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Ревизија статистике државних финансија </w:t>
      </w:r>
      <w:r w:rsidR="007D1365" w:rsidRPr="006C7B09">
        <w:rPr>
          <w:rFonts w:asciiTheme="majorHAnsi" w:hAnsiTheme="majorHAnsi" w:cstheme="majorHAnsi"/>
          <w:sz w:val="20"/>
          <w:szCs w:val="20"/>
          <w:lang w:val="sr-Cyrl-RS"/>
        </w:rPr>
        <w:t>у овом тренутку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7D1365" w:rsidRPr="006C7B09">
        <w:rPr>
          <w:rFonts w:asciiTheme="majorHAnsi" w:hAnsiTheme="majorHAnsi" w:cstheme="majorHAnsi"/>
          <w:sz w:val="20"/>
          <w:szCs w:val="20"/>
          <w:lang w:val="sr-Cyrl-RS"/>
        </w:rPr>
        <w:t>следи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праксу ревизиј</w:t>
      </w:r>
      <w:r w:rsidR="007D1365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7D1365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годишњих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националних рачуна.</w:t>
      </w:r>
    </w:p>
    <w:p w:rsidR="00341C68" w:rsidRPr="006C7B09" w:rsidRDefault="00341C68" w:rsidP="00F32202">
      <w:pPr>
        <w:rPr>
          <w:rFonts w:asciiTheme="majorHAnsi" w:eastAsiaTheme="minorHAnsi" w:hAnsiTheme="majorHAnsi" w:cstheme="majorHAnsi"/>
          <w:b/>
          <w:lang w:val="sr-Cyrl-RS"/>
        </w:rPr>
      </w:pPr>
    </w:p>
    <w:p w:rsidR="00341C68" w:rsidRPr="006C7B09" w:rsidRDefault="00341C68" w:rsidP="00F32202">
      <w:pPr>
        <w:rPr>
          <w:rFonts w:asciiTheme="majorHAnsi" w:eastAsiaTheme="minorHAnsi" w:hAnsiTheme="majorHAnsi" w:cstheme="majorHAnsi"/>
          <w:b/>
          <w:lang w:val="sr-Cyrl-RS"/>
        </w:rPr>
      </w:pPr>
    </w:p>
    <w:p w:rsidR="00341C68" w:rsidRPr="006C7B09" w:rsidRDefault="00341C68" w:rsidP="00F32202">
      <w:pPr>
        <w:rPr>
          <w:rFonts w:asciiTheme="majorHAnsi" w:eastAsiaTheme="minorHAnsi" w:hAnsiTheme="majorHAnsi" w:cstheme="majorHAnsi"/>
          <w:b/>
          <w:lang w:val="sr-Cyrl-RS"/>
        </w:rPr>
      </w:pPr>
    </w:p>
    <w:p w:rsidR="00551F58" w:rsidRPr="006C7B09" w:rsidRDefault="001E30C2" w:rsidP="00551F58">
      <w:pPr>
        <w:pStyle w:val="Heading1"/>
        <w:rPr>
          <w:rFonts w:cstheme="majorHAnsi"/>
        </w:rPr>
      </w:pPr>
      <w:bookmarkStart w:id="4" w:name="_Toc52283276"/>
      <w:r w:rsidRPr="006C7B09">
        <w:rPr>
          <w:rFonts w:cstheme="majorHAnsi"/>
          <w:lang w:val="sr-Cyrl-RS"/>
        </w:rPr>
        <w:lastRenderedPageBreak/>
        <w:t xml:space="preserve">Велике </w:t>
      </w:r>
      <w:r w:rsidR="005D72CC">
        <w:rPr>
          <w:rFonts w:cstheme="majorHAnsi"/>
          <w:lang w:val="sr-Cyrl-RS"/>
        </w:rPr>
        <w:t xml:space="preserve">редовне </w:t>
      </w:r>
      <w:r w:rsidR="00756E52" w:rsidRPr="006C7B09">
        <w:rPr>
          <w:rFonts w:cstheme="majorHAnsi"/>
          <w:lang w:val="sr-Latn-RS"/>
        </w:rPr>
        <w:t>(</w:t>
      </w:r>
      <w:r w:rsidR="00756E52" w:rsidRPr="006C7B09">
        <w:rPr>
          <w:rFonts w:cstheme="majorHAnsi"/>
          <w:lang w:val="sr-Cyrl-RS"/>
        </w:rPr>
        <w:t xml:space="preserve">бенчмарк) </w:t>
      </w:r>
      <w:r w:rsidRPr="006C7B09">
        <w:rPr>
          <w:rFonts w:cstheme="majorHAnsi"/>
          <w:lang w:val="sr-Cyrl-RS"/>
        </w:rPr>
        <w:t>ревизије</w:t>
      </w:r>
      <w:bookmarkEnd w:id="4"/>
      <w:r w:rsidR="008A2646" w:rsidRPr="006C7B09">
        <w:rPr>
          <w:rFonts w:cstheme="majorHAnsi"/>
          <w:lang w:val="sr-Latn-RS"/>
        </w:rPr>
        <w:t xml:space="preserve"> </w:t>
      </w:r>
    </w:p>
    <w:p w:rsidR="001E30C2" w:rsidRDefault="001E30C2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</w:rPr>
        <w:br/>
      </w:r>
      <w:r w:rsidR="0002241A" w:rsidRPr="0002241A">
        <w:rPr>
          <w:rFonts w:asciiTheme="majorHAnsi" w:hAnsiTheme="majorHAnsi" w:cstheme="majorHAnsi"/>
          <w:sz w:val="20"/>
          <w:szCs w:val="20"/>
          <w:lang w:val="sr-Cyrl-RS"/>
        </w:rPr>
        <w:t>Велике редовне ревизије утичу на део</w:t>
      </w:r>
      <w:r w:rsidR="0084726E">
        <w:rPr>
          <w:rFonts w:asciiTheme="majorHAnsi" w:hAnsiTheme="majorHAnsi" w:cstheme="majorHAnsi"/>
          <w:sz w:val="20"/>
          <w:szCs w:val="20"/>
          <w:lang w:val="sr-Cyrl-RS"/>
        </w:rPr>
        <w:t xml:space="preserve"> расположиве</w:t>
      </w:r>
      <w:r w:rsidR="0002241A" w:rsidRPr="0002241A">
        <w:rPr>
          <w:rFonts w:asciiTheme="majorHAnsi" w:hAnsiTheme="majorHAnsi" w:cstheme="majorHAnsi"/>
          <w:sz w:val="20"/>
          <w:szCs w:val="20"/>
          <w:lang w:val="sr-Cyrl-RS"/>
        </w:rPr>
        <w:t xml:space="preserve"> временске серије, а понекад чак и на комплетну временску серију. Због тога је неопходно извршити </w:t>
      </w:r>
      <w:r w:rsidR="0002241A">
        <w:rPr>
          <w:rFonts w:asciiTheme="majorHAnsi" w:hAnsiTheme="majorHAnsi" w:cstheme="majorHAnsi"/>
          <w:sz w:val="20"/>
          <w:szCs w:val="20"/>
          <w:lang w:val="sr-Cyrl-RS"/>
        </w:rPr>
        <w:t>ревидирање</w:t>
      </w:r>
      <w:r w:rsidR="0002241A" w:rsidRPr="0002241A">
        <w:rPr>
          <w:rFonts w:asciiTheme="majorHAnsi" w:hAnsiTheme="majorHAnsi" w:cstheme="majorHAnsi"/>
          <w:sz w:val="20"/>
          <w:szCs w:val="20"/>
          <w:lang w:val="sr-Cyrl-RS"/>
        </w:rPr>
        <w:t xml:space="preserve"> података како би се добила упоредива серија података, избегавајући колико год је то могуће било какве прекиде у</w:t>
      </w:r>
      <w:r w:rsidR="0002241A">
        <w:rPr>
          <w:rFonts w:asciiTheme="majorHAnsi" w:hAnsiTheme="majorHAnsi" w:cstheme="majorHAnsi"/>
          <w:sz w:val="20"/>
          <w:szCs w:val="20"/>
          <w:lang w:val="sr-Cyrl-RS"/>
        </w:rPr>
        <w:t xml:space="preserve"> расположивој серији</w:t>
      </w:r>
      <w:r w:rsidR="0002241A" w:rsidRPr="0002241A">
        <w:rPr>
          <w:rFonts w:asciiTheme="majorHAnsi" w:hAnsiTheme="majorHAnsi" w:cstheme="majorHAnsi"/>
          <w:sz w:val="20"/>
          <w:szCs w:val="20"/>
          <w:lang w:val="sr-Cyrl-RS"/>
        </w:rPr>
        <w:t xml:space="preserve"> података.</w:t>
      </w:r>
    </w:p>
    <w:p w:rsidR="00533639" w:rsidRDefault="00533639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02241A" w:rsidRDefault="0002241A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02241A">
        <w:rPr>
          <w:rFonts w:asciiTheme="majorHAnsi" w:hAnsiTheme="majorHAnsi" w:cstheme="majorHAnsi"/>
          <w:sz w:val="20"/>
          <w:szCs w:val="20"/>
          <w:lang w:val="sr-Cyrl-RS"/>
        </w:rPr>
        <w:t>Последњих година направљен је низ значајних промена у н</w:t>
      </w:r>
      <w:r w:rsidR="00596FD2">
        <w:rPr>
          <w:rFonts w:asciiTheme="majorHAnsi" w:hAnsiTheme="majorHAnsi" w:cstheme="majorHAnsi"/>
          <w:sz w:val="20"/>
          <w:szCs w:val="20"/>
          <w:lang w:val="sr-Cyrl-RS"/>
        </w:rPr>
        <w:t>ационалним рачунима, што је био разлог за спровођење</w:t>
      </w:r>
      <w:r w:rsidRPr="0002241A">
        <w:rPr>
          <w:rFonts w:asciiTheme="majorHAnsi" w:hAnsiTheme="majorHAnsi" w:cstheme="majorHAnsi"/>
          <w:sz w:val="20"/>
          <w:szCs w:val="20"/>
          <w:lang w:val="sr-Cyrl-RS"/>
        </w:rPr>
        <w:t xml:space="preserve"> велики</w:t>
      </w:r>
      <w:r w:rsidR="00596FD2">
        <w:rPr>
          <w:rFonts w:asciiTheme="majorHAnsi" w:hAnsiTheme="majorHAnsi" w:cstheme="majorHAnsi"/>
          <w:sz w:val="20"/>
          <w:szCs w:val="20"/>
          <w:lang w:val="sr-Cyrl-RS"/>
        </w:rPr>
        <w:t>х ревизија.</w:t>
      </w:r>
    </w:p>
    <w:p w:rsidR="00533639" w:rsidRDefault="00533639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02241A" w:rsidRPr="006C7B09" w:rsidRDefault="0002241A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Велике ревизије спроводе се у вишегодишњој периодици (обично између пет и десет година).</w:t>
      </w:r>
    </w:p>
    <w:p w:rsidR="001E30C2" w:rsidRPr="006C7B09" w:rsidRDefault="00545CDD" w:rsidP="00113BB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Велике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ревизије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су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планиране и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веома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значајне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из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мене објављени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х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статистичких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така,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које се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спроводе због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једног или више разлога:</w:t>
      </w:r>
      <w:r w:rsidR="0010583E" w:rsidRPr="006C7B09">
        <w:rPr>
          <w:rFonts w:asciiTheme="majorHAnsi" w:hAnsiTheme="majorHAnsi" w:cstheme="majorHAnsi"/>
          <w:sz w:val="20"/>
          <w:szCs w:val="20"/>
        </w:rPr>
        <w:t xml:space="preserve"> </w:t>
      </w:r>
    </w:p>
    <w:p w:rsidR="001E30C2" w:rsidRPr="006C7B09" w:rsidRDefault="003E6EF1" w:rsidP="00C020A1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расположивост нових података који се прикупљају у вишегодишњој периодици (5–10 година), као што су пописи (становништва, пољопривреде, економије), инпут-аутпут табеле итд.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;</w:t>
      </w:r>
    </w:p>
    <w:p w:rsidR="001E30C2" w:rsidRPr="006C7B09" w:rsidRDefault="00545CDD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расположивост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нових извора података (нова статистичка истраживања или административни извор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података);</w:t>
      </w:r>
    </w:p>
    <w:p w:rsidR="001E30C2" w:rsidRPr="006C7B09" w:rsidRDefault="001E30C2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промен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базне године </w:t>
      </w:r>
      <w:r w:rsidR="001109DA">
        <w:rPr>
          <w:rFonts w:ascii="Arial" w:hAnsi="Arial" w:cs="Arial"/>
          <w:sz w:val="20"/>
          <w:szCs w:val="20"/>
          <w:lang w:val="sr-Cyrl-RS"/>
        </w:rPr>
        <w:t>‒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примена новог 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пондерационог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система; </w:t>
      </w:r>
    </w:p>
    <w:p w:rsidR="001E30C2" w:rsidRPr="006C7B09" w:rsidRDefault="001E30C2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промене 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у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концепт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им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а, дефиниција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ма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и/или класификација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ма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(нпр. усвајање нове класификације или промене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у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међународни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м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статистички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м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стандард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им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а); </w:t>
      </w:r>
    </w:p>
    <w:p w:rsidR="00C020A1" w:rsidRPr="006C7B09" w:rsidRDefault="003E6EF1">
      <w:pPr>
        <w:pStyle w:val="ListParagraph"/>
        <w:numPr>
          <w:ilvl w:val="0"/>
          <w:numId w:val="25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унапређењ</w:t>
      </w:r>
      <w:r w:rsidR="00091573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методолошки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х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роцедур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а; </w:t>
      </w:r>
    </w:p>
    <w:p w:rsidR="00C020A1" w:rsidRDefault="00091573" w:rsidP="00533639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Theme="majorHAnsi" w:hAnsiTheme="majorHAnsi" w:cstheme="majorHAnsi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измене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законских регулатива</w:t>
      </w:r>
      <w:r w:rsidR="001E30C2" w:rsidRPr="006C7B09">
        <w:rPr>
          <w:rFonts w:asciiTheme="majorHAnsi" w:hAnsiTheme="majorHAnsi" w:cstheme="majorHAnsi"/>
          <w:lang w:val="sr-Cyrl-RS"/>
        </w:rPr>
        <w:t>.</w:t>
      </w:r>
    </w:p>
    <w:p w:rsidR="00533639" w:rsidRPr="00533639" w:rsidRDefault="00533639" w:rsidP="00533639">
      <w:pPr>
        <w:spacing w:after="0" w:line="276" w:lineRule="auto"/>
        <w:jc w:val="both"/>
        <w:rPr>
          <w:rFonts w:asciiTheme="majorHAnsi" w:hAnsiTheme="majorHAnsi" w:cstheme="majorHAnsi"/>
          <w:lang w:val="sr-Cyrl-RS"/>
        </w:rPr>
      </w:pPr>
    </w:p>
    <w:p w:rsidR="001E30C2" w:rsidRPr="006C7B09" w:rsidRDefault="001E30C2" w:rsidP="00113BB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Уобичајен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о је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да велик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ревизиј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ни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је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последица једног узрока, већ комбинациј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>а виш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њих</w:t>
      </w:r>
      <w:r w:rsidR="00362959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. Овакав начин спровођења ревизија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треба прихватити као добру праксу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, јер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се </w:t>
      </w:r>
      <w:r w:rsidR="00F35585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на тај начин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избег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>ава</w:t>
      </w:r>
      <w:r w:rsidR="0031014F" w:rsidRPr="006C7B09">
        <w:rPr>
          <w:rFonts w:asciiTheme="majorHAnsi" w:hAnsiTheme="majorHAnsi" w:cstheme="majorHAnsi"/>
          <w:sz w:val="20"/>
          <w:szCs w:val="20"/>
          <w:lang w:val="sr-Cyrl-RS"/>
        </w:rPr>
        <w:t>ју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пре</w:t>
      </w:r>
      <w:r w:rsidR="0031014F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више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чест</w:t>
      </w:r>
      <w:r w:rsidR="0031014F"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805A14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31014F" w:rsidRPr="006C7B09">
        <w:rPr>
          <w:rFonts w:asciiTheme="majorHAnsi" w:hAnsiTheme="majorHAnsi" w:cstheme="majorHAnsi"/>
          <w:sz w:val="20"/>
          <w:szCs w:val="20"/>
          <w:lang w:val="sr-Cyrl-RS"/>
        </w:rPr>
        <w:t>измене објављених података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8F0466" w:rsidRPr="0007619F" w:rsidRDefault="008F0466" w:rsidP="001E30C2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8F0466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</w:p>
    <w:p w:rsidR="0052725B" w:rsidRPr="006C7B09" w:rsidRDefault="008F0466" w:rsidP="001E30C2">
      <w:pPr>
        <w:jc w:val="both"/>
        <w:rPr>
          <w:rFonts w:asciiTheme="majorHAnsi" w:hAnsiTheme="majorHAnsi" w:cstheme="majorHAnsi"/>
          <w:sz w:val="20"/>
          <w:szCs w:val="20"/>
          <w:highlight w:val="yellow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highlight w:val="yellow"/>
          <w:lang w:val="sr-Cyrl-RS"/>
        </w:rPr>
        <w:lastRenderedPageBreak/>
        <w:t xml:space="preserve"> </w:t>
      </w:r>
    </w:p>
    <w:p w:rsidR="005972D1" w:rsidRPr="006C7B09" w:rsidRDefault="005972D1" w:rsidP="005972D1">
      <w:pPr>
        <w:spacing w:line="276" w:lineRule="auto"/>
        <w:jc w:val="center"/>
        <w:rPr>
          <w:rFonts w:asciiTheme="majorHAnsi" w:eastAsiaTheme="minorHAnsi" w:hAnsiTheme="majorHAnsi" w:cstheme="majorHAnsi"/>
          <w:b/>
          <w:bCs/>
          <w:sz w:val="20"/>
          <w:szCs w:val="20"/>
          <w:lang w:val="sr-Cyrl-RS"/>
        </w:rPr>
      </w:pPr>
      <w:r w:rsidRPr="0007619F">
        <w:rPr>
          <w:rFonts w:asciiTheme="majorHAnsi" w:hAnsiTheme="majorHAnsi" w:cstheme="majorHAnsi"/>
          <w:b/>
          <w:sz w:val="20"/>
          <w:szCs w:val="20"/>
          <w:lang w:val="sr-Cyrl-RS"/>
        </w:rPr>
        <w:t>Велике (бенчмарк) ревизије националних рачуна</w:t>
      </w:r>
    </w:p>
    <w:tbl>
      <w:tblPr>
        <w:tblStyle w:val="TableGrid1"/>
        <w:tblW w:w="0" w:type="auto"/>
        <w:jc w:val="center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A8D08D" w:themeColor="accent6" w:themeTint="99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7839"/>
      </w:tblGrid>
      <w:tr w:rsidR="005972D1" w:rsidRPr="006C7B09" w:rsidTr="00DA595F">
        <w:trPr>
          <w:trHeight w:val="316"/>
          <w:jc w:val="center"/>
        </w:trPr>
        <w:tc>
          <w:tcPr>
            <w:tcW w:w="1475" w:type="dxa"/>
            <w:shd w:val="clear" w:color="auto" w:fill="E2EFD9" w:themeFill="accent6" w:themeFillTint="33"/>
            <w:vAlign w:val="center"/>
          </w:tcPr>
          <w:p w:rsidR="005972D1" w:rsidRPr="006C7B09" w:rsidRDefault="005972D1" w:rsidP="001365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Година публиковања</w:t>
            </w:r>
          </w:p>
        </w:tc>
        <w:tc>
          <w:tcPr>
            <w:tcW w:w="7839" w:type="dxa"/>
            <w:shd w:val="clear" w:color="auto" w:fill="E2EFD9" w:themeFill="accent6" w:themeFillTint="33"/>
            <w:vAlign w:val="center"/>
          </w:tcPr>
          <w:p w:rsidR="005972D1" w:rsidRPr="006C7B09" w:rsidRDefault="005972D1" w:rsidP="001365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Г</w:t>
            </w:r>
            <w:r w:rsidR="004D51F6"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 xml:space="preserve">лавни резултати </w:t>
            </w:r>
            <w:r w:rsidRPr="006C7B09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ревизије</w:t>
            </w:r>
          </w:p>
        </w:tc>
      </w:tr>
      <w:tr w:rsidR="005972D1" w:rsidRPr="006C7B09" w:rsidTr="00DA595F">
        <w:trPr>
          <w:trHeight w:val="1835"/>
          <w:jc w:val="center"/>
        </w:trPr>
        <w:tc>
          <w:tcPr>
            <w:tcW w:w="1475" w:type="dxa"/>
            <w:vAlign w:val="center"/>
          </w:tcPr>
          <w:p w:rsidR="005972D1" w:rsidRPr="0007619F" w:rsidRDefault="005972D1" w:rsidP="001365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2012</w:t>
            </w:r>
          </w:p>
        </w:tc>
        <w:tc>
          <w:tcPr>
            <w:tcW w:w="7839" w:type="dxa"/>
            <w:vAlign w:val="center"/>
          </w:tcPr>
          <w:p w:rsidR="005972D1" w:rsidRPr="0007619F" w:rsidRDefault="005972D1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Уведена је нова Национална клас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ификација делатности (КД</w:t>
            </w:r>
            <w:r w:rsidR="00176865" w:rsidRPr="0007619F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2010)</w:t>
            </w:r>
            <w:r w:rsidR="001109DA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,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усаглашена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</w:t>
            </w:r>
            <w:r w:rsidR="004C69FD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а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међународном </w:t>
            </w:r>
            <w:r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NACE Rev. 2</w:t>
            </w:r>
          </w:p>
          <w:p w:rsidR="005972D1" w:rsidRPr="0007619F" w:rsidRDefault="0006765E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Промењен је метод</w:t>
            </w:r>
            <w:r w:rsidR="005972D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обрачуна сталних цена </w:t>
            </w:r>
            <w:r w:rsidR="001109DA">
              <w:rPr>
                <w:rFonts w:ascii="Arial" w:hAnsi="Arial" w:cs="Arial"/>
                <w:sz w:val="18"/>
                <w:szCs w:val="18"/>
                <w:lang w:val="sr-Cyrl-RS"/>
              </w:rPr>
              <w:t>‒</w:t>
            </w:r>
            <w:r w:rsidR="005972D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прелазак са обрачуна са фиксном базном </w:t>
            </w:r>
            <w:r w:rsidR="008F563A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годином на обрачун</w:t>
            </w:r>
            <w:r w:rsidR="005972D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у ценама претходне године</w:t>
            </w:r>
          </w:p>
          <w:p w:rsidR="005972D1" w:rsidRPr="0007619F" w:rsidRDefault="005972D1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Примењен је метод уланчавања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(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2010. година 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узета </w:t>
            </w:r>
            <w:r w:rsidR="008D7FD3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је 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као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референтна година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)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</w:p>
          <w:p w:rsidR="005972D1" w:rsidRPr="0007619F" w:rsidRDefault="005972D1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Ревидирана</w:t>
            </w:r>
            <w:r w:rsidR="008D7FD3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је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серија података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за период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2001</w:t>
            </w:r>
            <w:r w:rsidR="001109DA">
              <w:rPr>
                <w:rFonts w:ascii="Arial" w:hAnsi="Arial" w:cs="Arial"/>
                <w:sz w:val="18"/>
                <w:szCs w:val="18"/>
                <w:lang w:val="sr-Cyrl-RS"/>
              </w:rPr>
              <w:t>‒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2010</w:t>
            </w:r>
            <w:r w:rsidR="0006765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. </w:t>
            </w:r>
          </w:p>
        </w:tc>
      </w:tr>
      <w:tr w:rsidR="005972D1" w:rsidRPr="006C7B09" w:rsidTr="00DA595F">
        <w:trPr>
          <w:trHeight w:val="1835"/>
          <w:jc w:val="center"/>
        </w:trPr>
        <w:tc>
          <w:tcPr>
            <w:tcW w:w="1475" w:type="dxa"/>
            <w:vAlign w:val="center"/>
          </w:tcPr>
          <w:p w:rsidR="005972D1" w:rsidRPr="0007619F" w:rsidRDefault="005972D1" w:rsidP="001365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b/>
                <w:sz w:val="18"/>
                <w:szCs w:val="18"/>
                <w:lang w:val="sr-Cyrl-RS"/>
              </w:rPr>
              <w:t>2014</w:t>
            </w:r>
          </w:p>
        </w:tc>
        <w:tc>
          <w:tcPr>
            <w:tcW w:w="7839" w:type="dxa"/>
            <w:vAlign w:val="center"/>
          </w:tcPr>
          <w:p w:rsidR="005972D1" w:rsidRPr="0007619F" w:rsidRDefault="0006765E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Примењ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е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на је нова методологија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националних рачуна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,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  <w:r w:rsidR="000A02B4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Европски систем рачуна 2010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(</w:t>
            </w:r>
            <w:r w:rsidR="00F82F78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ESA 2010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)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уместо </w:t>
            </w:r>
            <w:r w:rsidR="005972D1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ESA</w:t>
            </w:r>
            <w:r w:rsidR="008F563A" w:rsidRPr="0007619F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="00F82F78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95</w:t>
            </w:r>
          </w:p>
          <w:p w:rsidR="00F82F78" w:rsidRPr="0007619F" w:rsidRDefault="008A6D5C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Уведен је м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етод дупле дефлације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у делатностима где је</w:t>
            </w:r>
            <w:r w:rsidR="00F8601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то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било могуће, односно тамо где су дефлатори били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расположиви</w:t>
            </w:r>
          </w:p>
          <w:p w:rsidR="00F82F78" w:rsidRPr="0007619F" w:rsidRDefault="00F8601B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Комплетирана је серија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података</w:t>
            </w:r>
            <w:r w:rsidR="008A6D5C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, укључивањем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обрачуна БДП</w:t>
            </w:r>
            <w:r w:rsidR="00840512" w:rsidRPr="0007619F">
              <w:rPr>
                <w:rFonts w:asciiTheme="majorHAnsi" w:hAnsiTheme="majorHAnsi" w:cstheme="majorHAnsi"/>
                <w:sz w:val="18"/>
                <w:szCs w:val="18"/>
                <w:lang w:val="sr-Latn-RS"/>
              </w:rPr>
              <w:t>-</w:t>
            </w:r>
            <w:r w:rsidR="008F563A" w:rsidRPr="0007619F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="00F82F78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за 1995. и 1996. годину</w:t>
            </w:r>
          </w:p>
          <w:p w:rsidR="005972D1" w:rsidRPr="0007619F" w:rsidRDefault="00F82F78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Ревидирана </w:t>
            </w:r>
            <w:r w:rsidR="00F8601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је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серија података </w:t>
            </w:r>
            <w:r w:rsidR="008A6D5C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за период </w:t>
            </w:r>
            <w:r w:rsidR="005972D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1997</w:t>
            </w:r>
            <w:r w:rsidR="001109DA">
              <w:rPr>
                <w:rFonts w:ascii="Arial" w:hAnsi="Arial" w:cs="Arial"/>
                <w:sz w:val="18"/>
                <w:szCs w:val="18"/>
                <w:lang w:val="sr-Cyrl-RS"/>
              </w:rPr>
              <w:t>‒</w:t>
            </w:r>
            <w:r w:rsidR="005972D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2012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Latn-RS"/>
              </w:rPr>
              <w:t xml:space="preserve">. </w:t>
            </w:r>
          </w:p>
        </w:tc>
      </w:tr>
      <w:tr w:rsidR="002E3B71" w:rsidRPr="006C7B09" w:rsidTr="00DA595F">
        <w:trPr>
          <w:trHeight w:val="1835"/>
          <w:jc w:val="center"/>
        </w:trPr>
        <w:tc>
          <w:tcPr>
            <w:tcW w:w="1475" w:type="dxa"/>
            <w:vAlign w:val="center"/>
          </w:tcPr>
          <w:p w:rsidR="002E3B71" w:rsidRPr="0007619F" w:rsidRDefault="002E3B71" w:rsidP="001365BC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  <w:lang w:val="sr-Latn-RS"/>
              </w:rPr>
            </w:pPr>
            <w:r w:rsidRPr="0007619F">
              <w:rPr>
                <w:rFonts w:asciiTheme="majorHAnsi" w:hAnsiTheme="majorHAnsi" w:cstheme="majorHAnsi"/>
                <w:b/>
                <w:sz w:val="18"/>
                <w:szCs w:val="18"/>
                <w:lang w:val="sr-Latn-RS"/>
              </w:rPr>
              <w:t>2018-2019</w:t>
            </w:r>
          </w:p>
        </w:tc>
        <w:tc>
          <w:tcPr>
            <w:tcW w:w="7839" w:type="dxa"/>
            <w:vAlign w:val="center"/>
          </w:tcPr>
          <w:p w:rsidR="002E3B71" w:rsidRPr="0007619F" w:rsidRDefault="005F568E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Побољшана је усаглашеност</w:t>
            </w:r>
            <w:r w:rsidR="008A6D5C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обрачуна</w:t>
            </w:r>
            <w:r w:rsidR="002E3B7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националних рачуна </w:t>
            </w:r>
            <w:r w:rsidR="008A6D5C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са </w:t>
            </w:r>
            <w:r w:rsidR="002E3B71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ЕSA</w:t>
            </w:r>
            <w:r w:rsidR="008A6D5C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 xml:space="preserve"> </w:t>
            </w:r>
            <w:r w:rsidR="002E3B71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2010</w:t>
            </w:r>
          </w:p>
          <w:p w:rsidR="001C0B8B" w:rsidRPr="0007619F" w:rsidRDefault="000A02B4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Приме</w:t>
            </w:r>
            <w:r w:rsidR="005F568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ње</w:t>
            </w:r>
            <w:r w:rsidR="003D36AC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н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а </w:t>
            </w:r>
            <w:r w:rsidR="005F568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је </w:t>
            </w:r>
            <w:r w:rsidR="001C0B8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секторск</w:t>
            </w:r>
            <w:r w:rsidR="005F568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а</w:t>
            </w:r>
            <w:r w:rsidR="001C0B8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класификациј</w:t>
            </w:r>
            <w:r w:rsidR="005F568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а</w:t>
            </w:r>
            <w:r w:rsidR="001C0B8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усаглашен</w:t>
            </w:r>
            <w:r w:rsidR="005F568E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а</w:t>
            </w:r>
            <w:r w:rsidR="001C0B8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са препорукама </w:t>
            </w:r>
            <w:r w:rsidR="001C0B8B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ЕSA 2010</w:t>
            </w:r>
          </w:p>
          <w:p w:rsidR="000A02B4" w:rsidRPr="0007619F" w:rsidRDefault="008A6D5C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Примењени</w:t>
            </w:r>
            <w:r w:rsidR="00792FB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су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резултати обрачуна</w:t>
            </w:r>
            <w:r w:rsidR="000A02B4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економски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х рачуна</w:t>
            </w:r>
            <w:r w:rsidR="000A02B4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пољопривреде (</w:t>
            </w:r>
            <w:r w:rsidR="000A02B4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ЕАА</w:t>
            </w:r>
            <w:r w:rsidR="000A02B4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)</w:t>
            </w:r>
          </w:p>
          <w:p w:rsidR="000A02B4" w:rsidRPr="0007619F" w:rsidRDefault="001C0B8B" w:rsidP="009731F0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Уведен</w:t>
            </w:r>
            <w:r w:rsidR="00792FB1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је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систем</w:t>
            </w:r>
            <w:r w:rsidR="009731F0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  <w:r w:rsidR="009731F0" w:rsidRPr="0007619F">
              <w:rPr>
                <w:rFonts w:asciiTheme="majorHAnsi" w:hAnsiTheme="majorHAnsi" w:cstheme="majorHAnsi"/>
                <w:i/>
                <w:sz w:val="18"/>
                <w:szCs w:val="18"/>
                <w:lang w:val="sr-Cyrl-RS"/>
              </w:rPr>
              <w:t>SUT-IOT</w:t>
            </w:r>
            <w:r w:rsidR="009731F0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у националне рачуне</w:t>
            </w:r>
          </w:p>
          <w:p w:rsidR="004D51F6" w:rsidRPr="0007619F" w:rsidRDefault="004D51F6" w:rsidP="007B3628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 w:val="18"/>
                <w:szCs w:val="18"/>
                <w:lang w:val="sr-Cyrl-RS"/>
              </w:rPr>
            </w:pP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Ревидирана</w:t>
            </w:r>
            <w:r w:rsidR="00F8601B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је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 серија података </w:t>
            </w:r>
            <w:r w:rsidR="00672243"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 xml:space="preserve">за период 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1995</w:t>
            </w:r>
            <w:r w:rsidR="001109DA">
              <w:rPr>
                <w:rFonts w:ascii="Arial" w:hAnsi="Arial" w:cs="Arial"/>
                <w:sz w:val="18"/>
                <w:szCs w:val="18"/>
                <w:lang w:val="sr-Cyrl-RS"/>
              </w:rPr>
              <w:t>‒</w:t>
            </w:r>
            <w:r w:rsidRPr="0007619F">
              <w:rPr>
                <w:rFonts w:asciiTheme="majorHAnsi" w:hAnsiTheme="majorHAnsi" w:cstheme="majorHAnsi"/>
                <w:sz w:val="18"/>
                <w:szCs w:val="18"/>
                <w:lang w:val="sr-Cyrl-RS"/>
              </w:rPr>
              <w:t>2017</w:t>
            </w:r>
            <w:r w:rsidR="00672243" w:rsidRPr="0007619F">
              <w:rPr>
                <w:rFonts w:asciiTheme="majorHAnsi" w:hAnsiTheme="majorHAnsi" w:cstheme="majorHAnsi"/>
                <w:sz w:val="18"/>
                <w:szCs w:val="18"/>
                <w:lang w:val="sr-Latn-RS"/>
              </w:rPr>
              <w:t>.</w:t>
            </w:r>
          </w:p>
        </w:tc>
      </w:tr>
    </w:tbl>
    <w:p w:rsidR="005972D1" w:rsidRPr="006C7B09" w:rsidRDefault="005972D1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1E30C2" w:rsidRDefault="001C6CC1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Велике ревизије на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јав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љују се знатно пре датума о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бјављивања ревидираних података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корисници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се информишу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о њено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м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спровођењу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у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прописаним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роковима и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форми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.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Најава би требало да садржи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разло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ге за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ревизиј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у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, датум објављивања ревидираних података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, дужину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и врст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временских серија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података,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које су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обухваћене </w:t>
      </w:r>
      <w:r w:rsidR="001E30C2" w:rsidRPr="006C7B09">
        <w:rPr>
          <w:rFonts w:asciiTheme="majorHAnsi" w:hAnsiTheme="majorHAnsi" w:cstheme="majorHAnsi"/>
          <w:sz w:val="20"/>
          <w:szCs w:val="20"/>
          <w:lang w:val="sr-Cyrl-RS"/>
        </w:rPr>
        <w:t>ревизиј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ом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113BB6" w:rsidRPr="006C7B09" w:rsidRDefault="00113BB6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3E6EF1" w:rsidRDefault="00F35585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У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з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објављен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ревидиран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пода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>тке треба објавити и пратећу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документациј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>у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, </w:t>
      </w:r>
      <w:r w:rsidR="007248F0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која корисницима пружа могућност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да оцене нове временске серије. Документација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треба да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садржи разлоге за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спровођење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ревизиј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,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пр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оцену утицаја ревизиј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на агрегате,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да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прика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же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упоредн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и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преглед старих и нових података и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да објасни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дужину ревидираних временских серија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и ниво детаљ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ности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ревизиј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а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.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Осим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тога, пре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спровођења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велике ревизије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потребно је из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врши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ти пробне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о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б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рачун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(бар за најважније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економске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индикаторе), а након 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спровођења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ревизије објав</w:t>
      </w:r>
      <w:r w:rsidR="00633AB8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ити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резултат анализе.</w:t>
      </w:r>
    </w:p>
    <w:p w:rsidR="00113BB6" w:rsidRPr="006C7B09" w:rsidRDefault="00113BB6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A747A9" w:rsidRDefault="00633AB8" w:rsidP="00113BB6">
      <w:pPr>
        <w:spacing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Неопходно је осигурати максималну доследност у примени и координацију између ревизија</w:t>
      </w:r>
      <w:r w:rsidR="005A7C69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 различитих области.</w:t>
      </w:r>
    </w:p>
    <w:p w:rsidR="002D6AAC" w:rsidRDefault="002D6AAC" w:rsidP="002E2F6A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2D6AAC" w:rsidRPr="006C7B09" w:rsidRDefault="002D6AAC" w:rsidP="002E2F6A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A747A9" w:rsidRPr="006C7B09" w:rsidRDefault="003E6EF1" w:rsidP="00A747A9">
      <w:pPr>
        <w:pStyle w:val="Heading1"/>
        <w:rPr>
          <w:rFonts w:cstheme="majorHAnsi"/>
        </w:rPr>
      </w:pPr>
      <w:bookmarkStart w:id="5" w:name="_Toc52283277"/>
      <w:r w:rsidRPr="006C7B09">
        <w:rPr>
          <w:rFonts w:cstheme="majorHAnsi"/>
          <w:lang w:val="sr-Cyrl-RS"/>
        </w:rPr>
        <w:lastRenderedPageBreak/>
        <w:t>Ванредне ревизије</w:t>
      </w:r>
      <w:bookmarkEnd w:id="5"/>
    </w:p>
    <w:p w:rsidR="003E6EF1" w:rsidRDefault="0042776B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>Ван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редне ревизије су неп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ланиране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измене објављених статистичких података, које су последица неочекиваних догађаја. Спроводе се 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када се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откри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је да у објављеним статистичким подацима/информацијама постоје лаке/тешке 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грешк</w:t>
      </w:r>
      <w:r w:rsidRPr="006C7B09">
        <w:rPr>
          <w:rFonts w:asciiTheme="majorHAnsi" w:hAnsiTheme="majorHAnsi" w:cstheme="majorHAnsi"/>
          <w:sz w:val="20"/>
          <w:szCs w:val="20"/>
          <w:lang w:val="sr-Cyrl-RS"/>
        </w:rPr>
        <w:t>е</w:t>
      </w:r>
      <w:r w:rsidR="003E6EF1"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p w:rsidR="00113BB6" w:rsidRDefault="00113BB6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3D69C2" w:rsidRDefault="003D69C2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3D69C2">
        <w:rPr>
          <w:rFonts w:asciiTheme="majorHAnsi" w:hAnsiTheme="majorHAnsi" w:cstheme="majorHAnsi"/>
          <w:sz w:val="20"/>
          <w:szCs w:val="20"/>
          <w:lang w:val="sr-Cyrl-RS"/>
        </w:rPr>
        <w:t>Честе ванредне ревизије могу да збуне кориснике и умање њихово поверење у квалитет</w:t>
      </w:r>
      <w:r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3D69C2">
        <w:rPr>
          <w:rFonts w:asciiTheme="majorHAnsi" w:hAnsiTheme="majorHAnsi" w:cstheme="majorHAnsi"/>
          <w:sz w:val="20"/>
          <w:szCs w:val="20"/>
          <w:lang w:val="sr-Cyrl-RS"/>
        </w:rPr>
        <w:t>статистичких података. Због тога је веома важно избећи их кад год је то могуће и</w:t>
      </w:r>
      <w:r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3D69C2">
        <w:rPr>
          <w:rFonts w:asciiTheme="majorHAnsi" w:hAnsiTheme="majorHAnsi" w:cstheme="majorHAnsi"/>
          <w:sz w:val="20"/>
          <w:szCs w:val="20"/>
          <w:lang w:val="sr-Cyrl-RS"/>
        </w:rPr>
        <w:t>ограничити их само на ситуације када се открију тешке грешке.</w:t>
      </w:r>
    </w:p>
    <w:p w:rsidR="00113BB6" w:rsidRDefault="00113BB6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66728A" w:rsidRDefault="0066728A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6728A">
        <w:rPr>
          <w:rFonts w:asciiTheme="majorHAnsi" w:hAnsiTheme="majorHAnsi" w:cstheme="majorHAnsi"/>
          <w:sz w:val="20"/>
          <w:szCs w:val="20"/>
          <w:lang w:val="sr-Cyrl-RS"/>
        </w:rPr>
        <w:t>Треба напоменути да, у зависности од потреба корисника, лака грешка за једног</w:t>
      </w:r>
      <w:r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6728A">
        <w:rPr>
          <w:rFonts w:asciiTheme="majorHAnsi" w:hAnsiTheme="majorHAnsi" w:cstheme="majorHAnsi"/>
          <w:sz w:val="20"/>
          <w:szCs w:val="20"/>
          <w:lang w:val="sr-Cyrl-RS"/>
        </w:rPr>
        <w:t>корисника може да буде тешка за другог и о томе треба водити рачуна приликом</w:t>
      </w:r>
      <w:r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6728A">
        <w:rPr>
          <w:rFonts w:asciiTheme="majorHAnsi" w:hAnsiTheme="majorHAnsi" w:cstheme="majorHAnsi"/>
          <w:sz w:val="20"/>
          <w:szCs w:val="20"/>
          <w:lang w:val="sr-Cyrl-RS"/>
        </w:rPr>
        <w:t>доношења одлуке о спровођењу ванредне ревизије и о којој врсти грешке се ради.</w:t>
      </w:r>
    </w:p>
    <w:p w:rsidR="00113BB6" w:rsidRDefault="00113BB6" w:rsidP="00113BB6">
      <w:pPr>
        <w:spacing w:after="0" w:line="276" w:lineRule="auto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9D4E4A" w:rsidRPr="009D4E4A" w:rsidRDefault="009D4E4A" w:rsidP="00113BB6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9D4E4A">
        <w:rPr>
          <w:rFonts w:asciiTheme="majorHAnsi" w:hAnsiTheme="majorHAnsi" w:cstheme="majorHAnsi"/>
          <w:sz w:val="20"/>
          <w:szCs w:val="20"/>
          <w:lang w:val="sr-Cyrl-RS"/>
        </w:rPr>
        <w:t>Основни принципи који важе за ванредне ревизије су следећи:</w:t>
      </w:r>
    </w:p>
    <w:p w:rsidR="009D4E4A" w:rsidRPr="009D4E4A" w:rsidRDefault="009D4E4A" w:rsidP="009D4E4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9D4E4A">
        <w:rPr>
          <w:rFonts w:asciiTheme="majorHAnsi" w:hAnsiTheme="majorHAnsi" w:cstheme="majorHAnsi"/>
          <w:sz w:val="20"/>
          <w:szCs w:val="20"/>
          <w:lang w:val="sr-Cyrl-RS"/>
        </w:rPr>
        <w:t>уколико је откривена лака грешка, исправка се спроводи у најкраћем могућем</w:t>
      </w:r>
    </w:p>
    <w:p w:rsidR="009D4E4A" w:rsidRPr="009D4E4A" w:rsidRDefault="009D4E4A" w:rsidP="009D4E4A">
      <w:pPr>
        <w:pStyle w:val="ListParagraph"/>
        <w:ind w:left="1080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9D4E4A">
        <w:rPr>
          <w:rFonts w:asciiTheme="majorHAnsi" w:hAnsiTheme="majorHAnsi" w:cstheme="majorHAnsi"/>
          <w:sz w:val="20"/>
          <w:szCs w:val="20"/>
          <w:lang w:val="sr-Cyrl-RS"/>
        </w:rPr>
        <w:t>року у свим облицима дисеминације без посебног информисања корисника;</w:t>
      </w:r>
    </w:p>
    <w:p w:rsidR="009D4E4A" w:rsidRPr="009D4E4A" w:rsidRDefault="009D4E4A" w:rsidP="009D4E4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9D4E4A">
        <w:rPr>
          <w:rFonts w:asciiTheme="majorHAnsi" w:hAnsiTheme="majorHAnsi" w:cstheme="majorHAnsi"/>
          <w:sz w:val="20"/>
          <w:szCs w:val="20"/>
          <w:lang w:val="sr-Cyrl-RS"/>
        </w:rPr>
        <w:t>тешке грешке које су откривене непосредно након објављивања података</w:t>
      </w:r>
    </w:p>
    <w:p w:rsidR="009D4E4A" w:rsidRPr="009D4E4A" w:rsidRDefault="009D4E4A" w:rsidP="009D4E4A">
      <w:pPr>
        <w:pStyle w:val="ListParagraph"/>
        <w:ind w:left="1080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9D4E4A">
        <w:rPr>
          <w:rFonts w:asciiTheme="majorHAnsi" w:hAnsiTheme="majorHAnsi" w:cstheme="majorHAnsi"/>
          <w:sz w:val="20"/>
          <w:szCs w:val="20"/>
          <w:lang w:val="sr-Cyrl-RS"/>
        </w:rPr>
        <w:t>требало би кориговати што је пре могуће;</w:t>
      </w:r>
    </w:p>
    <w:p w:rsidR="009D4E4A" w:rsidRPr="009D4E4A" w:rsidRDefault="009D4E4A" w:rsidP="009D4E4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9D4E4A">
        <w:rPr>
          <w:rFonts w:asciiTheme="majorHAnsi" w:hAnsiTheme="majorHAnsi" w:cstheme="majorHAnsi"/>
          <w:sz w:val="20"/>
          <w:szCs w:val="20"/>
          <w:lang w:val="sr-Cyrl-RS"/>
        </w:rPr>
        <w:t>кориснике треба информисати о предстојећој ванредној ревизији користећи иста</w:t>
      </w:r>
    </w:p>
    <w:p w:rsidR="009D4E4A" w:rsidRPr="009D4E4A" w:rsidRDefault="009D4E4A" w:rsidP="009D4E4A">
      <w:pPr>
        <w:pStyle w:val="ListParagraph"/>
        <w:ind w:left="1080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9D4E4A">
        <w:rPr>
          <w:rFonts w:asciiTheme="majorHAnsi" w:hAnsiTheme="majorHAnsi" w:cstheme="majorHAnsi"/>
          <w:sz w:val="20"/>
          <w:szCs w:val="20"/>
          <w:lang w:val="sr-Cyrl-RS"/>
        </w:rPr>
        <w:t>средства информисања као и за публиковање;</w:t>
      </w:r>
    </w:p>
    <w:p w:rsidR="0066728A" w:rsidRDefault="009D4E4A" w:rsidP="009D4E4A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9D4E4A">
        <w:rPr>
          <w:rFonts w:asciiTheme="majorHAnsi" w:hAnsiTheme="majorHAnsi" w:cstheme="majorHAnsi"/>
          <w:sz w:val="20"/>
          <w:szCs w:val="20"/>
          <w:lang w:val="sr-Cyrl-RS"/>
        </w:rPr>
        <w:t>у календар ревизија треба додати датум спровођења ванредне ревизије.</w:t>
      </w:r>
    </w:p>
    <w:p w:rsidR="00016E97" w:rsidRDefault="00016E97" w:rsidP="00113BB6">
      <w:pPr>
        <w:pStyle w:val="ListParagraph"/>
        <w:spacing w:after="0" w:line="276" w:lineRule="auto"/>
        <w:ind w:left="1080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6779CF" w:rsidRPr="006779CF" w:rsidRDefault="006779CF" w:rsidP="006779CF">
      <w:p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779CF">
        <w:rPr>
          <w:rFonts w:asciiTheme="majorHAnsi" w:hAnsiTheme="majorHAnsi" w:cstheme="majorHAnsi"/>
          <w:sz w:val="20"/>
          <w:szCs w:val="20"/>
          <w:lang w:val="sr-Cyrl-RS"/>
        </w:rPr>
        <w:t>У Заводу постоји дефинисана Процедура за исправљање грешака у објављеним</w:t>
      </w:r>
      <w:r w:rsidR="00E15665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779CF">
        <w:rPr>
          <w:rFonts w:asciiTheme="majorHAnsi" w:hAnsiTheme="majorHAnsi" w:cstheme="majorHAnsi"/>
          <w:sz w:val="20"/>
          <w:szCs w:val="20"/>
          <w:lang w:val="sr-Cyrl-RS"/>
        </w:rPr>
        <w:t>подацима и информацијама, којом су дефинисане све активности у вези са</w:t>
      </w:r>
      <w:r w:rsidR="00E15665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779CF">
        <w:rPr>
          <w:rFonts w:asciiTheme="majorHAnsi" w:hAnsiTheme="majorHAnsi" w:cstheme="majorHAnsi"/>
          <w:sz w:val="20"/>
          <w:szCs w:val="20"/>
          <w:lang w:val="sr-Cyrl-RS"/>
        </w:rPr>
        <w:t>спровођењем ванредних ревизија, као и начин информисања корисника. Овом</w:t>
      </w:r>
      <w:r w:rsidR="00E15665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6779CF">
        <w:rPr>
          <w:rFonts w:asciiTheme="majorHAnsi" w:hAnsiTheme="majorHAnsi" w:cstheme="majorHAnsi"/>
          <w:sz w:val="20"/>
          <w:szCs w:val="20"/>
          <w:lang w:val="sr-Cyrl-RS"/>
        </w:rPr>
        <w:t>процедуром дефинише се следеће:</w:t>
      </w:r>
    </w:p>
    <w:p w:rsidR="006779CF" w:rsidRPr="006779CF" w:rsidRDefault="006779CF" w:rsidP="006779C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779CF">
        <w:rPr>
          <w:rFonts w:asciiTheme="majorHAnsi" w:hAnsiTheme="majorHAnsi" w:cstheme="majorHAnsi"/>
          <w:sz w:val="20"/>
          <w:szCs w:val="20"/>
          <w:lang w:val="sr-Cyrl-RS"/>
        </w:rPr>
        <w:t>откривање грешке;</w:t>
      </w:r>
    </w:p>
    <w:p w:rsidR="006779CF" w:rsidRPr="006779CF" w:rsidRDefault="006779CF" w:rsidP="006779C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779CF">
        <w:rPr>
          <w:rFonts w:asciiTheme="majorHAnsi" w:hAnsiTheme="majorHAnsi" w:cstheme="majorHAnsi"/>
          <w:sz w:val="20"/>
          <w:szCs w:val="20"/>
          <w:lang w:val="sr-Cyrl-RS"/>
        </w:rPr>
        <w:t>утврђивање врсте грешке;</w:t>
      </w:r>
    </w:p>
    <w:p w:rsidR="006779CF" w:rsidRPr="006779CF" w:rsidRDefault="006779CF" w:rsidP="006779C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779CF">
        <w:rPr>
          <w:rFonts w:asciiTheme="majorHAnsi" w:hAnsiTheme="majorHAnsi" w:cstheme="majorHAnsi"/>
          <w:sz w:val="20"/>
          <w:szCs w:val="20"/>
          <w:lang w:val="sr-Cyrl-RS"/>
        </w:rPr>
        <w:t>исправка лаке грешке у статистичким подацима/информацијама;</w:t>
      </w:r>
    </w:p>
    <w:p w:rsidR="006779CF" w:rsidRPr="006779CF" w:rsidRDefault="006779CF" w:rsidP="006779C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779CF">
        <w:rPr>
          <w:rFonts w:asciiTheme="majorHAnsi" w:hAnsiTheme="majorHAnsi" w:cstheme="majorHAnsi"/>
          <w:sz w:val="20"/>
          <w:szCs w:val="20"/>
          <w:lang w:val="sr-Cyrl-RS"/>
        </w:rPr>
        <w:t>исправка тешке грешке у статистичким подацима/информацијама;</w:t>
      </w:r>
    </w:p>
    <w:p w:rsidR="006779CF" w:rsidRPr="006779CF" w:rsidRDefault="006779CF" w:rsidP="0001009D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779CF">
        <w:rPr>
          <w:rFonts w:asciiTheme="majorHAnsi" w:hAnsiTheme="majorHAnsi" w:cstheme="majorHAnsi"/>
          <w:sz w:val="20"/>
          <w:szCs w:val="20"/>
          <w:lang w:val="sr-Cyrl-RS"/>
        </w:rPr>
        <w:t>исправка тешке грешке у штампаним публикацијама;</w:t>
      </w:r>
    </w:p>
    <w:p w:rsidR="006779CF" w:rsidRPr="0001009D" w:rsidRDefault="006779CF" w:rsidP="0001009D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01009D">
        <w:rPr>
          <w:rFonts w:asciiTheme="majorHAnsi" w:hAnsiTheme="majorHAnsi" w:cstheme="majorHAnsi"/>
          <w:sz w:val="20"/>
          <w:szCs w:val="20"/>
          <w:lang w:val="sr-Cyrl-RS"/>
        </w:rPr>
        <w:t>исправка тешке грешке у електронским издањима (публикацијама,</w:t>
      </w:r>
      <w:r w:rsidR="0001009D" w:rsidRPr="0001009D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01009D">
        <w:rPr>
          <w:rFonts w:asciiTheme="majorHAnsi" w:hAnsiTheme="majorHAnsi" w:cstheme="majorHAnsi"/>
          <w:sz w:val="20"/>
          <w:szCs w:val="20"/>
          <w:lang w:val="sr-Cyrl-RS"/>
        </w:rPr>
        <w:t>саопштењима и саопштењима за јавност);</w:t>
      </w:r>
    </w:p>
    <w:p w:rsidR="006779CF" w:rsidRPr="006779CF" w:rsidRDefault="006779CF" w:rsidP="0001009D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779CF">
        <w:rPr>
          <w:rFonts w:asciiTheme="majorHAnsi" w:hAnsiTheme="majorHAnsi" w:cstheme="majorHAnsi"/>
          <w:sz w:val="20"/>
          <w:szCs w:val="20"/>
          <w:lang w:val="sr-Cyrl-RS"/>
        </w:rPr>
        <w:t>исправка тешке грешке у бази података;</w:t>
      </w:r>
    </w:p>
    <w:p w:rsidR="006779CF" w:rsidRPr="006779CF" w:rsidRDefault="006779CF" w:rsidP="0001009D">
      <w:pPr>
        <w:pStyle w:val="ListParagraph"/>
        <w:numPr>
          <w:ilvl w:val="1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779CF">
        <w:rPr>
          <w:rFonts w:asciiTheme="majorHAnsi" w:hAnsiTheme="majorHAnsi" w:cstheme="majorHAnsi"/>
          <w:sz w:val="20"/>
          <w:szCs w:val="20"/>
          <w:lang w:val="sr-Cyrl-RS"/>
        </w:rPr>
        <w:t>исправка тешке грешке у садржају веб-сајта;</w:t>
      </w:r>
    </w:p>
    <w:p w:rsidR="006779CF" w:rsidRPr="006779CF" w:rsidRDefault="006779CF" w:rsidP="006779C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779CF">
        <w:rPr>
          <w:rFonts w:asciiTheme="majorHAnsi" w:hAnsiTheme="majorHAnsi" w:cstheme="majorHAnsi"/>
          <w:sz w:val="20"/>
          <w:szCs w:val="20"/>
          <w:lang w:val="sr-Cyrl-RS"/>
        </w:rPr>
        <w:t>изузетак од активности у отклањању тешких грешака;</w:t>
      </w:r>
    </w:p>
    <w:p w:rsidR="006779CF" w:rsidRPr="006779CF" w:rsidRDefault="006779CF" w:rsidP="006779CF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779CF">
        <w:rPr>
          <w:rFonts w:asciiTheme="majorHAnsi" w:hAnsiTheme="majorHAnsi" w:cstheme="majorHAnsi"/>
          <w:sz w:val="20"/>
          <w:szCs w:val="20"/>
          <w:lang w:val="sr-Cyrl-RS"/>
        </w:rPr>
        <w:t>исправка грешке у Календару публикација;</w:t>
      </w:r>
    </w:p>
    <w:p w:rsidR="00016E97" w:rsidRDefault="006779CF" w:rsidP="00016E97">
      <w:pPr>
        <w:pStyle w:val="ListParagraph"/>
        <w:numPr>
          <w:ilvl w:val="0"/>
          <w:numId w:val="31"/>
        </w:numPr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E15665">
        <w:rPr>
          <w:rFonts w:asciiTheme="majorHAnsi" w:hAnsiTheme="majorHAnsi" w:cstheme="majorHAnsi"/>
          <w:sz w:val="20"/>
          <w:szCs w:val="20"/>
          <w:lang w:val="sr-Cyrl-RS"/>
        </w:rPr>
        <w:t>налог за исправку тешке грешке – стандардизован образац за извештавање о</w:t>
      </w:r>
      <w:r w:rsidR="00E15665" w:rsidRPr="00E15665">
        <w:rPr>
          <w:rFonts w:asciiTheme="majorHAnsi" w:hAnsiTheme="majorHAnsi" w:cstheme="majorHAnsi"/>
          <w:sz w:val="20"/>
          <w:szCs w:val="20"/>
          <w:lang w:val="sr-Cyrl-RS"/>
        </w:rPr>
        <w:t xml:space="preserve"> </w:t>
      </w:r>
      <w:r w:rsidRPr="00E15665">
        <w:rPr>
          <w:rFonts w:asciiTheme="majorHAnsi" w:hAnsiTheme="majorHAnsi" w:cstheme="majorHAnsi"/>
          <w:sz w:val="20"/>
          <w:szCs w:val="20"/>
          <w:lang w:val="sr-Cyrl-RS"/>
        </w:rPr>
        <w:t>откривеним тешким грешкама у објављеним статистичким подацима.</w:t>
      </w:r>
    </w:p>
    <w:p w:rsidR="00E06C88" w:rsidRPr="00E06C88" w:rsidRDefault="00E06C88" w:rsidP="00113BB6">
      <w:pPr>
        <w:pStyle w:val="ListParagraph"/>
        <w:spacing w:after="0" w:line="276" w:lineRule="auto"/>
        <w:ind w:left="1080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6C1EFA" w:rsidRDefault="006C1EFA" w:rsidP="00113BB6">
      <w:pPr>
        <w:spacing w:after="0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  <w:r w:rsidRPr="006C1EFA">
        <w:rPr>
          <w:rFonts w:asciiTheme="majorHAnsi" w:hAnsiTheme="majorHAnsi" w:cstheme="majorHAnsi"/>
          <w:sz w:val="20"/>
          <w:szCs w:val="20"/>
          <w:lang w:val="sr-Cyrl-RS"/>
        </w:rPr>
        <w:t xml:space="preserve">Национални рачуни до сада нису извршили ниједну </w:t>
      </w:r>
      <w:r>
        <w:rPr>
          <w:rFonts w:asciiTheme="majorHAnsi" w:hAnsiTheme="majorHAnsi" w:cstheme="majorHAnsi"/>
          <w:sz w:val="20"/>
          <w:szCs w:val="20"/>
          <w:lang w:val="sr-Cyrl-RS"/>
        </w:rPr>
        <w:t>ванредну</w:t>
      </w:r>
      <w:r w:rsidRPr="006C1EFA">
        <w:rPr>
          <w:rFonts w:asciiTheme="majorHAnsi" w:hAnsiTheme="majorHAnsi" w:cstheme="majorHAnsi"/>
          <w:sz w:val="20"/>
          <w:szCs w:val="20"/>
          <w:lang w:val="sr-Cyrl-RS"/>
        </w:rPr>
        <w:t xml:space="preserve"> ревизију.</w:t>
      </w:r>
    </w:p>
    <w:p w:rsidR="00113BB6" w:rsidRPr="006C1EFA" w:rsidRDefault="00113BB6" w:rsidP="00113BB6">
      <w:pPr>
        <w:spacing w:after="0"/>
        <w:jc w:val="both"/>
        <w:rPr>
          <w:rFonts w:asciiTheme="majorHAnsi" w:hAnsiTheme="majorHAnsi" w:cstheme="majorHAnsi"/>
          <w:sz w:val="20"/>
          <w:szCs w:val="20"/>
          <w:lang w:val="sr-Cyrl-RS"/>
        </w:rPr>
      </w:pPr>
    </w:p>
    <w:p w:rsidR="00A747A9" w:rsidRPr="006C7B09" w:rsidRDefault="003E6EF1" w:rsidP="002E2F6A">
      <w:pPr>
        <w:jc w:val="both"/>
        <w:rPr>
          <w:rFonts w:asciiTheme="majorHAnsi" w:hAnsiTheme="majorHAnsi" w:cstheme="majorHAnsi"/>
          <w:sz w:val="20"/>
          <w:szCs w:val="20"/>
        </w:rPr>
      </w:pPr>
      <w:r w:rsidRPr="006C7B09">
        <w:rPr>
          <w:rFonts w:asciiTheme="majorHAnsi" w:hAnsiTheme="majorHAnsi" w:cstheme="majorHAnsi"/>
          <w:sz w:val="20"/>
          <w:szCs w:val="20"/>
          <w:lang w:val="sr-Cyrl-RS"/>
        </w:rPr>
        <w:t xml:space="preserve">Детаљно објашњење у вези са ванредним ревизијама може се наћи у документу </w:t>
      </w:r>
      <w:r w:rsidR="00FB65B7" w:rsidRPr="006C7B09">
        <w:rPr>
          <w:rFonts w:asciiTheme="majorHAnsi" w:hAnsiTheme="majorHAnsi" w:cstheme="majorHAnsi"/>
          <w:sz w:val="20"/>
          <w:szCs w:val="20"/>
        </w:rPr>
        <w:t xml:space="preserve"> </w:t>
      </w:r>
      <w:r w:rsidR="001109DA" w:rsidRPr="007F14A6">
        <w:t>„</w:t>
      </w:r>
      <w:hyperlink r:id="rId9" w:history="1">
        <w:r w:rsidR="0042776B" w:rsidRPr="004E4F23">
          <w:rPr>
            <w:rStyle w:val="Hyperlink"/>
          </w:rPr>
          <w:t>Општа политика ревизије</w:t>
        </w:r>
      </w:hyperlink>
      <w:r w:rsidR="001109DA">
        <w:rPr>
          <w:rFonts w:ascii="Arial" w:hAnsi="Arial" w:cs="Arial"/>
          <w:sz w:val="20"/>
          <w:szCs w:val="20"/>
          <w:lang w:val="sr-Cyrl-RS"/>
        </w:rPr>
        <w:t>“</w:t>
      </w:r>
      <w:r w:rsidR="00906365" w:rsidRPr="006C7B09">
        <w:rPr>
          <w:rFonts w:asciiTheme="majorHAnsi" w:hAnsiTheme="majorHAnsi" w:cstheme="majorHAnsi"/>
          <w:sz w:val="20"/>
          <w:szCs w:val="20"/>
          <w:lang w:val="sr-Cyrl-RS"/>
        </w:rPr>
        <w:t>.</w:t>
      </w:r>
    </w:p>
    <w:sectPr w:rsidR="00A747A9" w:rsidRPr="006C7B09" w:rsidSect="00296770">
      <w:pgSz w:w="12240" w:h="15840" w:code="1"/>
      <w:pgMar w:top="1440" w:right="1440" w:bottom="1440" w:left="1440" w:header="706" w:footer="706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C7C1C" w16cex:dateUtc="2020-06-11T07:47:00Z"/>
  <w16cex:commentExtensible w16cex:durableId="228C7BDE" w16cex:dateUtc="2020-06-11T07:46:00Z"/>
  <w16cex:commentExtensible w16cex:durableId="228C7FA4" w16cex:dateUtc="2020-06-11T08:02:00Z"/>
  <w16cex:commentExtensible w16cex:durableId="228C7C84" w16cex:dateUtc="2020-06-11T07:48:00Z"/>
  <w16cex:commentExtensible w16cex:durableId="228C80B8" w16cex:dateUtc="2020-06-11T08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769B3DD" w16cid:durableId="228C7C1C"/>
  <w16cid:commentId w16cid:paraId="0E424900" w16cid:durableId="228C7BDE"/>
  <w16cid:commentId w16cid:paraId="0D03EC14" w16cid:durableId="228C7FA4"/>
  <w16cid:commentId w16cid:paraId="5F334CA9" w16cid:durableId="228C7C84"/>
  <w16cid:commentId w16cid:paraId="0B2A51E8" w16cid:durableId="228C80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485" w:rsidRDefault="009E5485" w:rsidP="008775ED">
      <w:pPr>
        <w:spacing w:after="0" w:line="240" w:lineRule="auto"/>
      </w:pPr>
      <w:r>
        <w:separator/>
      </w:r>
    </w:p>
  </w:endnote>
  <w:endnote w:type="continuationSeparator" w:id="0">
    <w:p w:rsidR="009E5485" w:rsidRDefault="009E5485" w:rsidP="00877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3232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2BF" w:rsidRDefault="008F12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01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12BF" w:rsidRDefault="008F1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485" w:rsidRDefault="009E5485" w:rsidP="008775ED">
      <w:pPr>
        <w:spacing w:after="0" w:line="240" w:lineRule="auto"/>
      </w:pPr>
      <w:r>
        <w:separator/>
      </w:r>
    </w:p>
  </w:footnote>
  <w:footnote w:type="continuationSeparator" w:id="0">
    <w:p w:rsidR="009E5485" w:rsidRDefault="009E5485" w:rsidP="008775ED">
      <w:pPr>
        <w:spacing w:after="0" w:line="240" w:lineRule="auto"/>
      </w:pPr>
      <w:r>
        <w:continuationSeparator/>
      </w:r>
    </w:p>
  </w:footnote>
  <w:footnote w:id="1">
    <w:p w:rsidR="004A6443" w:rsidRPr="00691FAE" w:rsidRDefault="004A6443">
      <w:pPr>
        <w:pStyle w:val="FootnoteText"/>
        <w:rPr>
          <w:rFonts w:asciiTheme="majorHAnsi" w:hAnsiTheme="majorHAnsi" w:cstheme="majorHAnsi"/>
          <w:lang w:val="sr-Cyrl-RS"/>
        </w:rPr>
      </w:pPr>
      <w:r w:rsidRPr="00691FAE">
        <w:rPr>
          <w:rStyle w:val="FootnoteReference"/>
          <w:rFonts w:asciiTheme="majorHAnsi" w:hAnsiTheme="majorHAnsi" w:cstheme="majorHAnsi"/>
        </w:rPr>
        <w:footnoteRef/>
      </w:r>
      <w:r w:rsidRPr="00691FAE">
        <w:rPr>
          <w:rFonts w:asciiTheme="majorHAnsi" w:hAnsiTheme="majorHAnsi" w:cstheme="majorHAnsi"/>
        </w:rPr>
        <w:t xml:space="preserve"> </w:t>
      </w:r>
      <w:hyperlink r:id="rId1" w:history="1">
        <w:r w:rsidRPr="00691FAE">
          <w:rPr>
            <w:rStyle w:val="Hyperlink"/>
            <w:rFonts w:asciiTheme="majorHAnsi" w:hAnsiTheme="majorHAnsi" w:cstheme="majorHAnsi"/>
          </w:rPr>
          <w:t>https://www.cmfb.org/main-topics/revision-policy</w:t>
        </w:r>
      </w:hyperlink>
    </w:p>
  </w:footnote>
  <w:footnote w:id="2">
    <w:p w:rsidR="004A6443" w:rsidRPr="00691FAE" w:rsidRDefault="004A6443">
      <w:pPr>
        <w:pStyle w:val="FootnoteText"/>
        <w:rPr>
          <w:rFonts w:asciiTheme="majorHAnsi" w:hAnsiTheme="majorHAnsi" w:cstheme="majorHAnsi"/>
          <w:lang w:val="sr-Cyrl-RS"/>
        </w:rPr>
      </w:pPr>
      <w:r w:rsidRPr="00691FAE">
        <w:rPr>
          <w:rStyle w:val="FootnoteReference"/>
          <w:rFonts w:asciiTheme="majorHAnsi" w:hAnsiTheme="majorHAnsi" w:cstheme="majorHAnsi"/>
        </w:rPr>
        <w:footnoteRef/>
      </w:r>
      <w:r w:rsidRPr="00691FAE">
        <w:rPr>
          <w:rFonts w:asciiTheme="majorHAnsi" w:hAnsiTheme="majorHAnsi" w:cstheme="majorHAnsi"/>
        </w:rPr>
        <w:t xml:space="preserve"> </w:t>
      </w:r>
      <w:hyperlink r:id="rId2" w:history="1">
        <w:r w:rsidRPr="00691FAE">
          <w:rPr>
            <w:rStyle w:val="Hyperlink"/>
            <w:rFonts w:asciiTheme="majorHAnsi" w:hAnsiTheme="majorHAnsi" w:cstheme="majorHAnsi"/>
          </w:rPr>
          <w:t>https://ec.europa.eu/eurostat/documents/3859598/9530664/KS-GQ-18-012-EN-N.pdf</w:t>
        </w:r>
      </w:hyperlink>
    </w:p>
  </w:footnote>
  <w:footnote w:id="3">
    <w:p w:rsidR="0010741C" w:rsidRPr="0010741C" w:rsidRDefault="0010741C" w:rsidP="00D42291">
      <w:pPr>
        <w:pStyle w:val="FootnoteText"/>
        <w:jc w:val="both"/>
        <w:rPr>
          <w:rFonts w:asciiTheme="majorHAnsi" w:hAnsiTheme="majorHAnsi" w:cstheme="majorHAnsi"/>
          <w:highlight w:val="yellow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07619F">
        <w:rPr>
          <w:rFonts w:asciiTheme="majorHAnsi" w:hAnsiTheme="majorHAnsi" w:cstheme="majorHAnsi"/>
          <w:lang w:val="sr-Cyrl-RS"/>
        </w:rPr>
        <w:t xml:space="preserve">У случају великих </w:t>
      </w:r>
      <w:r w:rsidR="00E32EB7">
        <w:rPr>
          <w:rFonts w:asciiTheme="majorHAnsi" w:hAnsiTheme="majorHAnsi" w:cstheme="majorHAnsi"/>
          <w:lang w:val="sr-Cyrl-RS"/>
        </w:rPr>
        <w:t xml:space="preserve">редовних </w:t>
      </w:r>
      <w:r w:rsidRPr="0007619F">
        <w:rPr>
          <w:rFonts w:asciiTheme="majorHAnsi" w:hAnsiTheme="majorHAnsi" w:cstheme="majorHAnsi"/>
          <w:lang w:val="sr-Cyrl-RS"/>
        </w:rPr>
        <w:t>(бенчмарк) ревизија табеле понуде и употребе треба да се ажурирају за годину t-4 (после тога</w:t>
      </w:r>
      <w:r w:rsidR="00335080" w:rsidRPr="0007619F">
        <w:rPr>
          <w:rFonts w:asciiTheme="majorHAnsi" w:hAnsiTheme="majorHAnsi" w:cstheme="majorHAnsi"/>
          <w:lang w:val="sr-Cyrl-RS"/>
        </w:rPr>
        <w:t xml:space="preserve">, </w:t>
      </w:r>
      <w:r w:rsidRPr="0007619F">
        <w:rPr>
          <w:rFonts w:asciiTheme="majorHAnsi" w:hAnsiTheme="majorHAnsi" w:cstheme="majorHAnsi"/>
          <w:lang w:val="sr-Cyrl-RS"/>
        </w:rPr>
        <w:t>у децембру следи трансмисија табела понуде и употребе за годину t-3, у складу са захтевима трансмисионог програма).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D17A8"/>
    <w:multiLevelType w:val="hybridMultilevel"/>
    <w:tmpl w:val="9C5E5420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C380DAC"/>
    <w:multiLevelType w:val="hybridMultilevel"/>
    <w:tmpl w:val="5FE2C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F72A6"/>
    <w:multiLevelType w:val="hybridMultilevel"/>
    <w:tmpl w:val="76DA0208"/>
    <w:lvl w:ilvl="0" w:tplc="33ACA5FC">
      <w:start w:val="1"/>
      <w:numFmt w:val="bullet"/>
      <w:lvlText w:val="ç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41A8"/>
    <w:multiLevelType w:val="hybridMultilevel"/>
    <w:tmpl w:val="F3C8D7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D4D04"/>
    <w:multiLevelType w:val="hybridMultilevel"/>
    <w:tmpl w:val="9C96A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12D6A"/>
    <w:multiLevelType w:val="hybridMultilevel"/>
    <w:tmpl w:val="F18C1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56116"/>
    <w:multiLevelType w:val="hybridMultilevel"/>
    <w:tmpl w:val="B7E45412"/>
    <w:lvl w:ilvl="0" w:tplc="2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615CA"/>
    <w:multiLevelType w:val="hybridMultilevel"/>
    <w:tmpl w:val="3B024B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3A4344"/>
    <w:multiLevelType w:val="hybridMultilevel"/>
    <w:tmpl w:val="8034D7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2833284"/>
    <w:multiLevelType w:val="hybridMultilevel"/>
    <w:tmpl w:val="00B0D302"/>
    <w:lvl w:ilvl="0" w:tplc="27F8B34C">
      <w:start w:val="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F25022"/>
    <w:multiLevelType w:val="hybridMultilevel"/>
    <w:tmpl w:val="F3882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6"/>
  </w:num>
  <w:num w:numId="12">
    <w:abstractNumId w:val="5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7"/>
  </w:num>
  <w:num w:numId="24">
    <w:abstractNumId w:val="2"/>
  </w:num>
  <w:num w:numId="25">
    <w:abstractNumId w:val="0"/>
  </w:num>
  <w:num w:numId="26">
    <w:abstractNumId w:val="4"/>
  </w:num>
  <w:num w:numId="27">
    <w:abstractNumId w:val="11"/>
  </w:num>
  <w:num w:numId="28">
    <w:abstractNumId w:val="10"/>
  </w:num>
  <w:num w:numId="29">
    <w:abstractNumId w:val="3"/>
  </w:num>
  <w:num w:numId="30">
    <w:abstractNumId w:val="8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fr-BE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IE" w:vendorID="64" w:dllVersion="6" w:nlCheck="1" w:checkStyle="0"/>
  <w:activeWritingStyle w:appName="MSWord" w:lang="en-GB" w:vendorID="64" w:dllVersion="4096" w:nlCheck="1" w:checkStyle="0"/>
  <w:activeWritingStyle w:appName="MSWord" w:lang="en-IE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en-US" w:vendorID="64" w:dllVersion="131078" w:nlCheck="1" w:checkStyle="1"/>
  <w:activeWritingStyle w:appName="MSWord" w:lang="en-IE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8775ED"/>
    <w:rsid w:val="00001B56"/>
    <w:rsid w:val="00004658"/>
    <w:rsid w:val="000052BA"/>
    <w:rsid w:val="0001009D"/>
    <w:rsid w:val="00012926"/>
    <w:rsid w:val="00016E97"/>
    <w:rsid w:val="0002241A"/>
    <w:rsid w:val="00034A71"/>
    <w:rsid w:val="000554EA"/>
    <w:rsid w:val="000671D8"/>
    <w:rsid w:val="0006765E"/>
    <w:rsid w:val="00070A63"/>
    <w:rsid w:val="00073A0D"/>
    <w:rsid w:val="0007619F"/>
    <w:rsid w:val="00081798"/>
    <w:rsid w:val="00091573"/>
    <w:rsid w:val="000A02B4"/>
    <w:rsid w:val="000A55B7"/>
    <w:rsid w:val="000A5CDA"/>
    <w:rsid w:val="000C6838"/>
    <w:rsid w:val="000D0051"/>
    <w:rsid w:val="0010583E"/>
    <w:rsid w:val="0010741C"/>
    <w:rsid w:val="001109DA"/>
    <w:rsid w:val="00113BB6"/>
    <w:rsid w:val="001524C8"/>
    <w:rsid w:val="0016107F"/>
    <w:rsid w:val="00173F82"/>
    <w:rsid w:val="00176865"/>
    <w:rsid w:val="00195B11"/>
    <w:rsid w:val="001A367C"/>
    <w:rsid w:val="001A3B88"/>
    <w:rsid w:val="001A4420"/>
    <w:rsid w:val="001B7D1B"/>
    <w:rsid w:val="001C0B8B"/>
    <w:rsid w:val="001C1497"/>
    <w:rsid w:val="001C6CC1"/>
    <w:rsid w:val="001D2575"/>
    <w:rsid w:val="001E0B5E"/>
    <w:rsid w:val="001E2B2B"/>
    <w:rsid w:val="001E30C2"/>
    <w:rsid w:val="001F6B50"/>
    <w:rsid w:val="00201B26"/>
    <w:rsid w:val="002070F4"/>
    <w:rsid w:val="002102B1"/>
    <w:rsid w:val="00224D00"/>
    <w:rsid w:val="00226FA1"/>
    <w:rsid w:val="0022774D"/>
    <w:rsid w:val="002610A6"/>
    <w:rsid w:val="00262299"/>
    <w:rsid w:val="00265181"/>
    <w:rsid w:val="002752AC"/>
    <w:rsid w:val="002760A4"/>
    <w:rsid w:val="00280402"/>
    <w:rsid w:val="00280D12"/>
    <w:rsid w:val="00286904"/>
    <w:rsid w:val="00287B3D"/>
    <w:rsid w:val="00296770"/>
    <w:rsid w:val="002A1442"/>
    <w:rsid w:val="002A3EB3"/>
    <w:rsid w:val="002C79B0"/>
    <w:rsid w:val="002D2CBC"/>
    <w:rsid w:val="002D6AAC"/>
    <w:rsid w:val="002E09F9"/>
    <w:rsid w:val="002E0D58"/>
    <w:rsid w:val="002E1140"/>
    <w:rsid w:val="002E212A"/>
    <w:rsid w:val="002E2F6A"/>
    <w:rsid w:val="002E3B71"/>
    <w:rsid w:val="002E6153"/>
    <w:rsid w:val="003006E1"/>
    <w:rsid w:val="0031014F"/>
    <w:rsid w:val="003153C2"/>
    <w:rsid w:val="00317412"/>
    <w:rsid w:val="00324484"/>
    <w:rsid w:val="00335080"/>
    <w:rsid w:val="00336627"/>
    <w:rsid w:val="00336A87"/>
    <w:rsid w:val="00340E24"/>
    <w:rsid w:val="00341C68"/>
    <w:rsid w:val="0035629F"/>
    <w:rsid w:val="00361A0A"/>
    <w:rsid w:val="00362959"/>
    <w:rsid w:val="0036793A"/>
    <w:rsid w:val="00384378"/>
    <w:rsid w:val="00384D19"/>
    <w:rsid w:val="00386E13"/>
    <w:rsid w:val="00387CE0"/>
    <w:rsid w:val="003B223E"/>
    <w:rsid w:val="003B57C7"/>
    <w:rsid w:val="003C2890"/>
    <w:rsid w:val="003C46FA"/>
    <w:rsid w:val="003C6044"/>
    <w:rsid w:val="003D36AC"/>
    <w:rsid w:val="003D6172"/>
    <w:rsid w:val="003D635C"/>
    <w:rsid w:val="003D69C2"/>
    <w:rsid w:val="003E6EF1"/>
    <w:rsid w:val="003F1EB0"/>
    <w:rsid w:val="003F21FF"/>
    <w:rsid w:val="003F511A"/>
    <w:rsid w:val="00410DAF"/>
    <w:rsid w:val="00414A55"/>
    <w:rsid w:val="00416C35"/>
    <w:rsid w:val="00416C88"/>
    <w:rsid w:val="00421916"/>
    <w:rsid w:val="0042776B"/>
    <w:rsid w:val="00432631"/>
    <w:rsid w:val="0044073B"/>
    <w:rsid w:val="00441D3C"/>
    <w:rsid w:val="004476DB"/>
    <w:rsid w:val="00455704"/>
    <w:rsid w:val="004560A2"/>
    <w:rsid w:val="00456640"/>
    <w:rsid w:val="00472073"/>
    <w:rsid w:val="00472CC6"/>
    <w:rsid w:val="00483167"/>
    <w:rsid w:val="004A6443"/>
    <w:rsid w:val="004B5C84"/>
    <w:rsid w:val="004C0C8C"/>
    <w:rsid w:val="004C558C"/>
    <w:rsid w:val="004C5FA0"/>
    <w:rsid w:val="004C69FD"/>
    <w:rsid w:val="004C7E82"/>
    <w:rsid w:val="004D51F6"/>
    <w:rsid w:val="004E3602"/>
    <w:rsid w:val="004E4F23"/>
    <w:rsid w:val="004E6658"/>
    <w:rsid w:val="004E746E"/>
    <w:rsid w:val="00500157"/>
    <w:rsid w:val="005044DE"/>
    <w:rsid w:val="00514D67"/>
    <w:rsid w:val="005235BE"/>
    <w:rsid w:val="0052725B"/>
    <w:rsid w:val="00530BEB"/>
    <w:rsid w:val="00533639"/>
    <w:rsid w:val="00540D86"/>
    <w:rsid w:val="00541A48"/>
    <w:rsid w:val="00545CDD"/>
    <w:rsid w:val="00547FA6"/>
    <w:rsid w:val="00551F58"/>
    <w:rsid w:val="005556C0"/>
    <w:rsid w:val="005565E9"/>
    <w:rsid w:val="00567A6B"/>
    <w:rsid w:val="0058038E"/>
    <w:rsid w:val="00580F3F"/>
    <w:rsid w:val="0058564B"/>
    <w:rsid w:val="00596FD2"/>
    <w:rsid w:val="005972D1"/>
    <w:rsid w:val="005A436B"/>
    <w:rsid w:val="005A4D84"/>
    <w:rsid w:val="005A4E82"/>
    <w:rsid w:val="005A5613"/>
    <w:rsid w:val="005A5ED0"/>
    <w:rsid w:val="005A7C69"/>
    <w:rsid w:val="005C29BA"/>
    <w:rsid w:val="005C4ABB"/>
    <w:rsid w:val="005D2319"/>
    <w:rsid w:val="005D2C2B"/>
    <w:rsid w:val="005D5368"/>
    <w:rsid w:val="005D72CC"/>
    <w:rsid w:val="005D7564"/>
    <w:rsid w:val="005E4DC0"/>
    <w:rsid w:val="005F28AD"/>
    <w:rsid w:val="005F5676"/>
    <w:rsid w:val="005F568E"/>
    <w:rsid w:val="005F5B5B"/>
    <w:rsid w:val="005F7A08"/>
    <w:rsid w:val="00604AD5"/>
    <w:rsid w:val="00605A62"/>
    <w:rsid w:val="00612BCA"/>
    <w:rsid w:val="0062170F"/>
    <w:rsid w:val="00625684"/>
    <w:rsid w:val="00625962"/>
    <w:rsid w:val="00631F00"/>
    <w:rsid w:val="00633AB8"/>
    <w:rsid w:val="006416C7"/>
    <w:rsid w:val="00641A8E"/>
    <w:rsid w:val="006469A4"/>
    <w:rsid w:val="00653162"/>
    <w:rsid w:val="00666F59"/>
    <w:rsid w:val="0066728A"/>
    <w:rsid w:val="00672243"/>
    <w:rsid w:val="0067374A"/>
    <w:rsid w:val="00674C78"/>
    <w:rsid w:val="006779CF"/>
    <w:rsid w:val="00686F18"/>
    <w:rsid w:val="00687283"/>
    <w:rsid w:val="00691FAE"/>
    <w:rsid w:val="0069209E"/>
    <w:rsid w:val="006A49FD"/>
    <w:rsid w:val="006C1EFA"/>
    <w:rsid w:val="006C4488"/>
    <w:rsid w:val="006C7B09"/>
    <w:rsid w:val="006D03A3"/>
    <w:rsid w:val="006D1DB3"/>
    <w:rsid w:val="006D62F8"/>
    <w:rsid w:val="006D6597"/>
    <w:rsid w:val="006E289C"/>
    <w:rsid w:val="006E61E7"/>
    <w:rsid w:val="006F1BE2"/>
    <w:rsid w:val="006F4250"/>
    <w:rsid w:val="00700BBA"/>
    <w:rsid w:val="00706DC2"/>
    <w:rsid w:val="00712E78"/>
    <w:rsid w:val="00715516"/>
    <w:rsid w:val="00720FCE"/>
    <w:rsid w:val="00721264"/>
    <w:rsid w:val="007248F0"/>
    <w:rsid w:val="00726F7D"/>
    <w:rsid w:val="007313B3"/>
    <w:rsid w:val="00733A3C"/>
    <w:rsid w:val="007441D6"/>
    <w:rsid w:val="00744800"/>
    <w:rsid w:val="0075082B"/>
    <w:rsid w:val="00756E52"/>
    <w:rsid w:val="0076015D"/>
    <w:rsid w:val="00780388"/>
    <w:rsid w:val="007865BD"/>
    <w:rsid w:val="007901EE"/>
    <w:rsid w:val="00792954"/>
    <w:rsid w:val="00792FB1"/>
    <w:rsid w:val="00797A3F"/>
    <w:rsid w:val="007A72A1"/>
    <w:rsid w:val="007B264D"/>
    <w:rsid w:val="007B3628"/>
    <w:rsid w:val="007B6A0C"/>
    <w:rsid w:val="007D1365"/>
    <w:rsid w:val="007D6A0C"/>
    <w:rsid w:val="007E1F25"/>
    <w:rsid w:val="007E3D31"/>
    <w:rsid w:val="007E3D5E"/>
    <w:rsid w:val="007E5577"/>
    <w:rsid w:val="007F14A6"/>
    <w:rsid w:val="00805A14"/>
    <w:rsid w:val="00820C1C"/>
    <w:rsid w:val="00822E12"/>
    <w:rsid w:val="008267EE"/>
    <w:rsid w:val="00831D74"/>
    <w:rsid w:val="00840512"/>
    <w:rsid w:val="0084726E"/>
    <w:rsid w:val="0085300F"/>
    <w:rsid w:val="00856101"/>
    <w:rsid w:val="008650F9"/>
    <w:rsid w:val="008775ED"/>
    <w:rsid w:val="00880E03"/>
    <w:rsid w:val="00895740"/>
    <w:rsid w:val="008A2646"/>
    <w:rsid w:val="008A3384"/>
    <w:rsid w:val="008A673F"/>
    <w:rsid w:val="008A6D5C"/>
    <w:rsid w:val="008D3F3B"/>
    <w:rsid w:val="008D7FD3"/>
    <w:rsid w:val="008E051B"/>
    <w:rsid w:val="008E41C5"/>
    <w:rsid w:val="008F0466"/>
    <w:rsid w:val="008F12BF"/>
    <w:rsid w:val="008F563A"/>
    <w:rsid w:val="00906365"/>
    <w:rsid w:val="00915A23"/>
    <w:rsid w:val="00921B49"/>
    <w:rsid w:val="00926D17"/>
    <w:rsid w:val="0093531F"/>
    <w:rsid w:val="009470FF"/>
    <w:rsid w:val="00963341"/>
    <w:rsid w:val="009731F0"/>
    <w:rsid w:val="0097526E"/>
    <w:rsid w:val="009842A5"/>
    <w:rsid w:val="0099402A"/>
    <w:rsid w:val="009A3837"/>
    <w:rsid w:val="009A46B3"/>
    <w:rsid w:val="009B0832"/>
    <w:rsid w:val="009B75D6"/>
    <w:rsid w:val="009D1720"/>
    <w:rsid w:val="009D4E4A"/>
    <w:rsid w:val="009E19F8"/>
    <w:rsid w:val="009E5485"/>
    <w:rsid w:val="009F7AA4"/>
    <w:rsid w:val="00A009AD"/>
    <w:rsid w:val="00A01C05"/>
    <w:rsid w:val="00A05FB2"/>
    <w:rsid w:val="00A12A1B"/>
    <w:rsid w:val="00A33434"/>
    <w:rsid w:val="00A37A29"/>
    <w:rsid w:val="00A419B4"/>
    <w:rsid w:val="00A55EF5"/>
    <w:rsid w:val="00A73B2E"/>
    <w:rsid w:val="00A747A9"/>
    <w:rsid w:val="00A8028F"/>
    <w:rsid w:val="00A83CF1"/>
    <w:rsid w:val="00AA2301"/>
    <w:rsid w:val="00AB1DBB"/>
    <w:rsid w:val="00AB29F7"/>
    <w:rsid w:val="00AB733D"/>
    <w:rsid w:val="00AC1D27"/>
    <w:rsid w:val="00AD35A4"/>
    <w:rsid w:val="00AD7632"/>
    <w:rsid w:val="00AE321C"/>
    <w:rsid w:val="00AE5681"/>
    <w:rsid w:val="00AE7605"/>
    <w:rsid w:val="00AF5F55"/>
    <w:rsid w:val="00B12AB0"/>
    <w:rsid w:val="00B13720"/>
    <w:rsid w:val="00B14BE7"/>
    <w:rsid w:val="00B20D75"/>
    <w:rsid w:val="00B20F51"/>
    <w:rsid w:val="00B32185"/>
    <w:rsid w:val="00B333B6"/>
    <w:rsid w:val="00B337D4"/>
    <w:rsid w:val="00B33DEF"/>
    <w:rsid w:val="00B401B0"/>
    <w:rsid w:val="00B419F6"/>
    <w:rsid w:val="00B47190"/>
    <w:rsid w:val="00B6119D"/>
    <w:rsid w:val="00B63618"/>
    <w:rsid w:val="00B64ABA"/>
    <w:rsid w:val="00B6656F"/>
    <w:rsid w:val="00B746EB"/>
    <w:rsid w:val="00B756D6"/>
    <w:rsid w:val="00B87898"/>
    <w:rsid w:val="00B901D1"/>
    <w:rsid w:val="00B9514D"/>
    <w:rsid w:val="00B95A30"/>
    <w:rsid w:val="00BA40CE"/>
    <w:rsid w:val="00BA43B1"/>
    <w:rsid w:val="00BA61A8"/>
    <w:rsid w:val="00BC487A"/>
    <w:rsid w:val="00BD3643"/>
    <w:rsid w:val="00BE34BF"/>
    <w:rsid w:val="00BF3882"/>
    <w:rsid w:val="00C020A1"/>
    <w:rsid w:val="00C073E2"/>
    <w:rsid w:val="00C1276B"/>
    <w:rsid w:val="00C26B86"/>
    <w:rsid w:val="00C453A0"/>
    <w:rsid w:val="00C54390"/>
    <w:rsid w:val="00C72244"/>
    <w:rsid w:val="00C72A34"/>
    <w:rsid w:val="00C821E7"/>
    <w:rsid w:val="00C85F91"/>
    <w:rsid w:val="00C86850"/>
    <w:rsid w:val="00CA16E9"/>
    <w:rsid w:val="00CD3DBB"/>
    <w:rsid w:val="00CD56C9"/>
    <w:rsid w:val="00CE3843"/>
    <w:rsid w:val="00CF2375"/>
    <w:rsid w:val="00D116C5"/>
    <w:rsid w:val="00D21DC9"/>
    <w:rsid w:val="00D2248B"/>
    <w:rsid w:val="00D35D21"/>
    <w:rsid w:val="00D37EB2"/>
    <w:rsid w:val="00D42291"/>
    <w:rsid w:val="00D47963"/>
    <w:rsid w:val="00D479B8"/>
    <w:rsid w:val="00D678AA"/>
    <w:rsid w:val="00D8058A"/>
    <w:rsid w:val="00D8790B"/>
    <w:rsid w:val="00D97FB2"/>
    <w:rsid w:val="00DA595F"/>
    <w:rsid w:val="00DB0455"/>
    <w:rsid w:val="00DB462B"/>
    <w:rsid w:val="00DD0BF2"/>
    <w:rsid w:val="00DE4252"/>
    <w:rsid w:val="00DF30E4"/>
    <w:rsid w:val="00E0067E"/>
    <w:rsid w:val="00E00A6A"/>
    <w:rsid w:val="00E062C9"/>
    <w:rsid w:val="00E06C88"/>
    <w:rsid w:val="00E11755"/>
    <w:rsid w:val="00E13506"/>
    <w:rsid w:val="00E139F9"/>
    <w:rsid w:val="00E14E43"/>
    <w:rsid w:val="00E15665"/>
    <w:rsid w:val="00E2407C"/>
    <w:rsid w:val="00E2507B"/>
    <w:rsid w:val="00E264C3"/>
    <w:rsid w:val="00E31115"/>
    <w:rsid w:val="00E32DE7"/>
    <w:rsid w:val="00E32EB7"/>
    <w:rsid w:val="00E518AC"/>
    <w:rsid w:val="00E637A9"/>
    <w:rsid w:val="00E670B5"/>
    <w:rsid w:val="00E731D4"/>
    <w:rsid w:val="00E875F0"/>
    <w:rsid w:val="00E97828"/>
    <w:rsid w:val="00EC1C68"/>
    <w:rsid w:val="00EC2A4F"/>
    <w:rsid w:val="00EC69DE"/>
    <w:rsid w:val="00ED62E6"/>
    <w:rsid w:val="00ED6625"/>
    <w:rsid w:val="00EE0CC1"/>
    <w:rsid w:val="00EE5362"/>
    <w:rsid w:val="00EF1861"/>
    <w:rsid w:val="00EF71F8"/>
    <w:rsid w:val="00F07256"/>
    <w:rsid w:val="00F314C5"/>
    <w:rsid w:val="00F32202"/>
    <w:rsid w:val="00F35585"/>
    <w:rsid w:val="00F36EA7"/>
    <w:rsid w:val="00F40BD1"/>
    <w:rsid w:val="00F53345"/>
    <w:rsid w:val="00F769B3"/>
    <w:rsid w:val="00F82F78"/>
    <w:rsid w:val="00F848A6"/>
    <w:rsid w:val="00F85776"/>
    <w:rsid w:val="00F8601B"/>
    <w:rsid w:val="00F91666"/>
    <w:rsid w:val="00F94A72"/>
    <w:rsid w:val="00FA1A1D"/>
    <w:rsid w:val="00FB65B7"/>
    <w:rsid w:val="00FC0759"/>
    <w:rsid w:val="00FC5CBD"/>
    <w:rsid w:val="00FD02DA"/>
    <w:rsid w:val="00FE7974"/>
    <w:rsid w:val="00FF723D"/>
    <w:rsid w:val="00FF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B27E26"/>
  <w15:docId w15:val="{056E6DFD-AE0B-4F09-B35C-EC8FB89AD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D75"/>
  </w:style>
  <w:style w:type="paragraph" w:styleId="Heading1">
    <w:name w:val="heading 1"/>
    <w:basedOn w:val="Normal"/>
    <w:next w:val="Normal"/>
    <w:link w:val="Heading1Char"/>
    <w:uiPriority w:val="9"/>
    <w:qFormat/>
    <w:rsid w:val="008775ED"/>
    <w:pPr>
      <w:keepNext/>
      <w:keepLines/>
      <w:numPr>
        <w:numId w:val="2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75ED"/>
    <w:pPr>
      <w:keepNext/>
      <w:keepLines/>
      <w:numPr>
        <w:ilvl w:val="1"/>
        <w:numId w:val="2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5ED"/>
    <w:pPr>
      <w:keepNext/>
      <w:keepLines/>
      <w:numPr>
        <w:ilvl w:val="2"/>
        <w:numId w:val="2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5ED"/>
    <w:pPr>
      <w:keepNext/>
      <w:keepLines/>
      <w:numPr>
        <w:ilvl w:val="3"/>
        <w:numId w:val="2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5ED"/>
    <w:pPr>
      <w:keepNext/>
      <w:keepLines/>
      <w:numPr>
        <w:ilvl w:val="4"/>
        <w:numId w:val="2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5ED"/>
    <w:pPr>
      <w:keepNext/>
      <w:keepLines/>
      <w:numPr>
        <w:ilvl w:val="5"/>
        <w:numId w:val="2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5ED"/>
    <w:pPr>
      <w:keepNext/>
      <w:keepLines/>
      <w:numPr>
        <w:ilvl w:val="6"/>
        <w:numId w:val="2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5ED"/>
    <w:pPr>
      <w:keepNext/>
      <w:keepLines/>
      <w:numPr>
        <w:ilvl w:val="7"/>
        <w:numId w:val="2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5ED"/>
    <w:pPr>
      <w:keepNext/>
      <w:keepLines/>
      <w:numPr>
        <w:ilvl w:val="8"/>
        <w:numId w:val="2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5ED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8775ED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5ED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5ED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5ED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5ED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5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5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5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775E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775ED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5ED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5ED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8775ED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8775ED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8775ED"/>
    <w:rPr>
      <w:i/>
      <w:iCs/>
      <w:color w:val="auto"/>
    </w:rPr>
  </w:style>
  <w:style w:type="paragraph" w:styleId="NoSpacing">
    <w:name w:val="No Spacing"/>
    <w:uiPriority w:val="1"/>
    <w:qFormat/>
    <w:rsid w:val="008775E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775ED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775E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5ED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5ED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8775E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775ED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8775E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8775ED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8775ED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8775ED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775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5ED"/>
    <w:rPr>
      <w:sz w:val="20"/>
      <w:szCs w:val="20"/>
    </w:rPr>
  </w:style>
  <w:style w:type="table" w:styleId="TableGrid">
    <w:name w:val="Table Grid"/>
    <w:basedOn w:val="TableNormal"/>
    <w:uiPriority w:val="39"/>
    <w:rsid w:val="008775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8775E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775E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8775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775E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E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8775ED"/>
    <w:pPr>
      <w:ind w:left="720"/>
      <w:contextualSpacing/>
    </w:pPr>
    <w:rPr>
      <w:rFonts w:eastAsiaTheme="minorHAnsi"/>
    </w:rPr>
  </w:style>
  <w:style w:type="paragraph" w:styleId="TOC1">
    <w:name w:val="toc 1"/>
    <w:basedOn w:val="Normal"/>
    <w:next w:val="Normal"/>
    <w:autoRedefine/>
    <w:uiPriority w:val="39"/>
    <w:unhideWhenUsed/>
    <w:rsid w:val="008775E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775ED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C543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6DB"/>
  </w:style>
  <w:style w:type="paragraph" w:styleId="Footer">
    <w:name w:val="footer"/>
    <w:basedOn w:val="Normal"/>
    <w:link w:val="FooterChar"/>
    <w:uiPriority w:val="99"/>
    <w:unhideWhenUsed/>
    <w:rsid w:val="004476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6DB"/>
  </w:style>
  <w:style w:type="character" w:styleId="CommentReference">
    <w:name w:val="annotation reference"/>
    <w:basedOn w:val="DefaultParagraphFont"/>
    <w:uiPriority w:val="99"/>
    <w:semiHidden/>
    <w:unhideWhenUsed/>
    <w:rsid w:val="00B20F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0F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0F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0F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0F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3A0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F1BE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F1BE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F1BE2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07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073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tat.gov.rs/media/2332/general-revision-policy.docx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eurostat/documents/3859598/9530664/KS-GQ-18-012-EN-N.pdf" TargetMode="External"/><Relationship Id="rId1" Type="http://schemas.openxmlformats.org/officeDocument/2006/relationships/hyperlink" Target="https://www.cmfb.org/main-topics/revision-pol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16083-E2E0-4B9C-96AA-62669C77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10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PALIBRK Marijana (ESTAT)</dc:creator>
  <cp:keywords/>
  <dc:description/>
  <cp:lastModifiedBy>Danijela Dabetic</cp:lastModifiedBy>
  <cp:revision>129</cp:revision>
  <cp:lastPrinted>2023-04-04T11:02:00Z</cp:lastPrinted>
  <dcterms:created xsi:type="dcterms:W3CDTF">2022-05-09T08:06:00Z</dcterms:created>
  <dcterms:modified xsi:type="dcterms:W3CDTF">2023-08-23T09:00:00Z</dcterms:modified>
</cp:coreProperties>
</file>