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5746AB" w:rsidRPr="005B038E" w:rsidTr="00B71CF0">
        <w:trPr>
          <w:cantSplit/>
          <w:trHeight w:val="450"/>
        </w:trPr>
        <w:tc>
          <w:tcPr>
            <w:tcW w:w="4253" w:type="dxa"/>
            <w:vAlign w:val="center"/>
          </w:tcPr>
          <w:p w:rsidR="005746AB" w:rsidRPr="005B038E" w:rsidRDefault="005746AB" w:rsidP="00B71CF0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  <w:r w:rsidRPr="005746AB">
              <w:rPr>
                <w:noProof/>
                <w:color w:val="auto"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2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6AB" w:rsidRPr="005B038E" w:rsidRDefault="005746AB" w:rsidP="00B71CF0">
            <w:pPr>
              <w:pStyle w:val="Header"/>
              <w:tabs>
                <w:tab w:val="center" w:pos="4820"/>
              </w:tabs>
              <w:jc w:val="center"/>
              <w:rPr>
                <w:b/>
                <w:color w:val="auto"/>
                <w:spacing w:val="130"/>
                <w:sz w:val="22"/>
                <w:szCs w:val="22"/>
              </w:rPr>
            </w:pPr>
          </w:p>
          <w:p w:rsidR="005746AB" w:rsidRPr="005B038E" w:rsidRDefault="005746AB" w:rsidP="00B71CF0">
            <w:pPr>
              <w:pStyle w:val="BodyText"/>
              <w:jc w:val="center"/>
              <w:rPr>
                <w:color w:val="auto"/>
                <w:szCs w:val="22"/>
              </w:rPr>
            </w:pPr>
            <w:r w:rsidRPr="005B038E">
              <w:rPr>
                <w:color w:val="auto"/>
                <w:szCs w:val="22"/>
              </w:rPr>
              <w:t>Република Србија</w:t>
            </w:r>
          </w:p>
          <w:p w:rsidR="005746AB" w:rsidRPr="005B038E" w:rsidRDefault="005746AB" w:rsidP="00B71CF0">
            <w:pPr>
              <w:pStyle w:val="BodyText"/>
              <w:jc w:val="center"/>
              <w:rPr>
                <w:b/>
                <w:color w:val="auto"/>
                <w:szCs w:val="22"/>
                <w:lang w:val="ru-RU"/>
              </w:rPr>
            </w:pPr>
            <w:r w:rsidRPr="005B038E">
              <w:rPr>
                <w:b/>
                <w:color w:val="auto"/>
                <w:szCs w:val="22"/>
                <w:lang w:val="ru-RU"/>
              </w:rPr>
              <w:t>РЕПУБЛИЧКИ ЗАВОД ЗА СТАТИСТИКУ</w:t>
            </w:r>
          </w:p>
          <w:p w:rsidR="005746AB" w:rsidRPr="005B038E" w:rsidRDefault="005746AB" w:rsidP="00B71CF0">
            <w:pPr>
              <w:pStyle w:val="BodyText"/>
              <w:rPr>
                <w:color w:val="auto"/>
                <w:szCs w:val="22"/>
              </w:rPr>
            </w:pPr>
            <w:r w:rsidRPr="005B038E">
              <w:rPr>
                <w:color w:val="auto"/>
                <w:szCs w:val="22"/>
                <w:lang w:val="sr-Cyrl-CS"/>
              </w:rPr>
              <w:t xml:space="preserve">           06</w:t>
            </w:r>
            <w:r w:rsidRPr="005B038E">
              <w:rPr>
                <w:color w:val="auto"/>
                <w:szCs w:val="22"/>
              </w:rPr>
              <w:t xml:space="preserve"> </w:t>
            </w:r>
            <w:r w:rsidRPr="005B038E">
              <w:rPr>
                <w:color w:val="auto"/>
                <w:szCs w:val="22"/>
                <w:lang w:val="sr-Cyrl-CS"/>
              </w:rPr>
              <w:t>Број:</w:t>
            </w:r>
            <w:r w:rsidRPr="005B038E">
              <w:rPr>
                <w:color w:val="auto"/>
                <w:szCs w:val="22"/>
              </w:rPr>
              <w:t xml:space="preserve"> </w:t>
            </w:r>
            <w:r>
              <w:rPr>
                <w:noProof/>
                <w:color w:val="auto"/>
                <w:szCs w:val="22"/>
              </w:rPr>
              <w:t>404-1073</w:t>
            </w:r>
            <w:r w:rsidRPr="005B038E">
              <w:rPr>
                <w:color w:val="auto"/>
                <w:szCs w:val="22"/>
              </w:rPr>
              <w:t>/</w:t>
            </w:r>
            <w:r>
              <w:rPr>
                <w:color w:val="auto"/>
                <w:szCs w:val="22"/>
              </w:rPr>
              <w:t>4</w:t>
            </w:r>
          </w:p>
          <w:p w:rsidR="005746AB" w:rsidRPr="005B038E" w:rsidRDefault="005746AB" w:rsidP="00B71CF0">
            <w:pPr>
              <w:pStyle w:val="BodyText"/>
              <w:rPr>
                <w:color w:val="auto"/>
                <w:szCs w:val="22"/>
                <w:lang w:val="sr-Cyrl-CS"/>
              </w:rPr>
            </w:pPr>
            <w:r w:rsidRPr="005B038E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5B038E">
              <w:rPr>
                <w:color w:val="auto"/>
                <w:szCs w:val="22"/>
              </w:rPr>
              <w:t xml:space="preserve"> </w:t>
            </w:r>
            <w:r w:rsidRPr="005B038E">
              <w:rPr>
                <w:noProof/>
                <w:color w:val="auto"/>
                <w:szCs w:val="22"/>
                <w:lang w:val="sr-Cyrl-RS"/>
              </w:rPr>
              <w:t>0</w:t>
            </w:r>
            <w:r>
              <w:rPr>
                <w:noProof/>
                <w:color w:val="auto"/>
                <w:szCs w:val="22"/>
              </w:rPr>
              <w:t>6</w:t>
            </w:r>
            <w:r w:rsidRPr="005B038E">
              <w:rPr>
                <w:noProof/>
                <w:color w:val="auto"/>
                <w:szCs w:val="22"/>
              </w:rPr>
              <w:t>.1</w:t>
            </w:r>
            <w:r w:rsidRPr="005B038E">
              <w:rPr>
                <w:noProof/>
                <w:color w:val="auto"/>
                <w:szCs w:val="22"/>
                <w:lang w:val="sr-Cyrl-RS"/>
              </w:rPr>
              <w:t>1</w:t>
            </w:r>
            <w:r w:rsidRPr="005B038E">
              <w:rPr>
                <w:noProof/>
                <w:color w:val="auto"/>
                <w:szCs w:val="22"/>
              </w:rPr>
              <w:t>.2018.</w:t>
            </w:r>
          </w:p>
          <w:p w:rsidR="005746AB" w:rsidRPr="005B038E" w:rsidRDefault="005746AB" w:rsidP="00B71CF0">
            <w:pPr>
              <w:pStyle w:val="BodyText"/>
              <w:jc w:val="center"/>
              <w:rPr>
                <w:color w:val="auto"/>
                <w:sz w:val="22"/>
                <w:szCs w:val="22"/>
                <w:lang w:val="sr-Cyrl-CS"/>
              </w:rPr>
            </w:pPr>
            <w:r w:rsidRPr="005B038E">
              <w:rPr>
                <w:bCs/>
                <w:color w:val="auto"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p w:rsidR="005746AB" w:rsidRDefault="005746AB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5746AB" w:rsidRPr="002305FB" w:rsidTr="002305FB">
        <w:tc>
          <w:tcPr>
            <w:tcW w:w="9242" w:type="dxa"/>
            <w:shd w:val="clear" w:color="auto" w:fill="B8CCE4"/>
          </w:tcPr>
          <w:p w:rsidR="005746AB" w:rsidRPr="002305FB" w:rsidRDefault="005746AB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5746AB" w:rsidRDefault="005746AB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7D2784" w:rsidP="00E711B8">
            <w:pPr>
              <w:jc w:val="both"/>
            </w:pPr>
            <w:hyperlink r:id="rId9" w:history="1">
              <w:r w:rsidR="005746AB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5746AB" w:rsidRDefault="005746AB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255E26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bookmarkStart w:id="0" w:name="_GoBack"/>
            <w:bookmarkEnd w:id="0"/>
            <w:r w:rsidR="005746AB" w:rsidRPr="0091159B">
              <w:rPr>
                <w:noProof/>
                <w:lang w:val="sr-Cyrl-RS"/>
              </w:rPr>
              <w:t>слуге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91159B">
              <w:rPr>
                <w:noProof/>
                <w:lang w:val="sr-Cyrl-RS"/>
              </w:rPr>
              <w:t>Услуга организовања смештаја и путовања</w:t>
            </w:r>
          </w:p>
        </w:tc>
      </w:tr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5746AB" w:rsidRPr="0091159B" w:rsidRDefault="005746AB" w:rsidP="00BE139B">
            <w:pPr>
              <w:jc w:val="both"/>
              <w:rPr>
                <w:noProof/>
                <w:lang w:val="sr-Cyrl-RS"/>
              </w:rPr>
            </w:pPr>
            <w:r w:rsidRPr="0091159B">
              <w:rPr>
                <w:noProof/>
                <w:lang w:val="sr-Cyrl-RS"/>
              </w:rPr>
              <w:t>Услуге хотелског смештаја: 55110000-4</w:t>
            </w:r>
          </w:p>
          <w:p w:rsidR="005746AB" w:rsidRPr="00E711B8" w:rsidRDefault="005746AB" w:rsidP="00E711B8">
            <w:pPr>
              <w:jc w:val="both"/>
              <w:rPr>
                <w:lang w:val="sr-Cyrl-RS"/>
              </w:rPr>
            </w:pPr>
            <w:r w:rsidRPr="0091159B">
              <w:rPr>
                <w:noProof/>
                <w:lang w:val="sr-Cyrl-RS"/>
              </w:rPr>
              <w:t>Услуге организације путовања: 63516000-9</w:t>
            </w:r>
          </w:p>
        </w:tc>
      </w:tr>
    </w:tbl>
    <w:p w:rsidR="005746AB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5746AB" w:rsidRPr="00FD1DE0" w:rsidTr="00181707">
        <w:tc>
          <w:tcPr>
            <w:tcW w:w="3798" w:type="dxa"/>
            <w:shd w:val="clear" w:color="auto" w:fill="auto"/>
          </w:tcPr>
          <w:p w:rsidR="005746AB" w:rsidRPr="00FD1DE0" w:rsidRDefault="005746AB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5746AB" w:rsidRPr="00FD1DE0" w:rsidRDefault="005746AB" w:rsidP="00106FF4">
            <w:r w:rsidRPr="0091159B">
              <w:rPr>
                <w:noProof/>
              </w:rPr>
              <w:t>Предметна јавна набавка није обликована по партијама</w:t>
            </w:r>
          </w:p>
        </w:tc>
      </w:tr>
    </w:tbl>
    <w:p w:rsidR="005746AB" w:rsidRPr="003A2447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5746AB" w:rsidTr="00181707">
        <w:tc>
          <w:tcPr>
            <w:tcW w:w="3798" w:type="dxa"/>
            <w:shd w:val="clear" w:color="auto" w:fill="auto"/>
          </w:tcPr>
          <w:p w:rsidR="005746AB" w:rsidRPr="003A2447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5746AB" w:rsidRDefault="005746AB" w:rsidP="00661D37"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</w:t>
            </w:r>
            <w:r w:rsidRPr="00E711B8">
              <w:rPr>
                <w:lang w:val="sr-Cyrl-RS"/>
              </w:rPr>
              <w:lastRenderedPageBreak/>
              <w:t>система динамичне набавке - 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5287"/>
      </w:tblGrid>
      <w:tr w:rsidR="005746AB" w:rsidRPr="00E711B8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5746AB" w:rsidRPr="003A2447" w:rsidRDefault="005746AB" w:rsidP="00E711B8">
            <w:pPr>
              <w:jc w:val="both"/>
            </w:pPr>
          </w:p>
        </w:tc>
      </w:tr>
    </w:tbl>
    <w:p w:rsidR="005746AB" w:rsidRPr="00106FF4" w:rsidRDefault="005746AB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5746AB" w:rsidTr="00181707">
        <w:tc>
          <w:tcPr>
            <w:tcW w:w="3798" w:type="dxa"/>
            <w:shd w:val="clear" w:color="auto" w:fill="auto"/>
          </w:tcPr>
          <w:p w:rsidR="005746AB" w:rsidRPr="00E711B8" w:rsidRDefault="005746AB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5746AB" w:rsidRPr="00E711B8" w:rsidRDefault="005746AB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91159B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5746AB" w:rsidRPr="00106FF4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5746AB" w:rsidRPr="00661D37" w:rsidTr="00181707">
        <w:tc>
          <w:tcPr>
            <w:tcW w:w="3798" w:type="dxa"/>
            <w:shd w:val="clear" w:color="auto" w:fill="auto"/>
          </w:tcPr>
          <w:p w:rsidR="005746AB" w:rsidRPr="00661D37" w:rsidRDefault="005746AB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5746AB" w:rsidRDefault="005746AB" w:rsidP="005746AB">
            <w:pPr>
              <w:jc w:val="both"/>
            </w:pPr>
            <w: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5746AB" w:rsidRDefault="005746AB" w:rsidP="005746AB">
            <w:pPr>
              <w:jc w:val="both"/>
            </w:pPr>
            <w:r>
              <w:t xml:space="preserve">На полеђини коверте или на кутији навести назив и адресу понуђача. </w:t>
            </w:r>
          </w:p>
          <w:p w:rsidR="005746AB" w:rsidRDefault="005746AB" w:rsidP="005746AB">
            <w:pPr>
              <w:jc w:val="both"/>
            </w:pPr>
            <w: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5746AB" w:rsidRPr="00661D37" w:rsidRDefault="005746AB" w:rsidP="005746AB">
            <w:pPr>
              <w:jc w:val="both"/>
            </w:pPr>
            <w:r>
              <w:t>Понуду доставити на адресу: Републички завод за статистику, Милана Ракића 5, 11 000 Београд, са назнаком: ,,Понуда за јавну набавку услуга, ЈН бр. 008/2018 - НЕ ОТВАРАТИ”. Понуда се сматра благовременом уколико је примљена од стране наручиоца до 15.11.2018. године до 10:00 часова.</w:t>
            </w:r>
          </w:p>
        </w:tc>
      </w:tr>
    </w:tbl>
    <w:p w:rsidR="005746AB" w:rsidRDefault="005746AB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5746AB" w:rsidRPr="00661D37" w:rsidTr="00181707">
        <w:tc>
          <w:tcPr>
            <w:tcW w:w="3798" w:type="dxa"/>
            <w:shd w:val="clear" w:color="auto" w:fill="auto"/>
          </w:tcPr>
          <w:p w:rsidR="005746AB" w:rsidRPr="00661D37" w:rsidRDefault="005746AB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5746AB" w:rsidRPr="00661D37" w:rsidRDefault="005746AB" w:rsidP="00562C70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</w:rPr>
              <w:t>15.11.2018. годиен у 10:30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5746AB" w:rsidRPr="00106FF4" w:rsidRDefault="005746AB" w:rsidP="00106FF4"/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5746AB" w:rsidRPr="00661D37" w:rsidTr="00255E26">
        <w:tc>
          <w:tcPr>
            <w:tcW w:w="3685" w:type="dxa"/>
            <w:shd w:val="clear" w:color="auto" w:fill="auto"/>
          </w:tcPr>
          <w:p w:rsidR="005746AB" w:rsidRPr="00661D37" w:rsidRDefault="005746AB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310" w:type="dxa"/>
            <w:shd w:val="clear" w:color="auto" w:fill="B8CCE4"/>
          </w:tcPr>
          <w:p w:rsidR="005746AB" w:rsidRPr="00661D37" w:rsidRDefault="005746AB" w:rsidP="00E711B8">
            <w:pPr>
              <w:jc w:val="both"/>
            </w:pPr>
            <w:r>
              <w:rPr>
                <w:noProof/>
              </w:rPr>
              <w:t xml:space="preserve">Отварање понуда је јавно и може присуствовати свако заинтересовано лице. У поступку отварања понуда активно могу учествовати само овлашћени </w:t>
            </w:r>
            <w:r>
              <w:rPr>
                <w:noProof/>
              </w:rPr>
              <w:lastRenderedPageBreak/>
              <w:t>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5746AB" w:rsidRDefault="005746AB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310"/>
      </w:tblGrid>
      <w:tr w:rsidR="005746AB" w:rsidRPr="00E711B8" w:rsidTr="00255E26">
        <w:tc>
          <w:tcPr>
            <w:tcW w:w="3685" w:type="dxa"/>
            <w:shd w:val="clear" w:color="auto" w:fill="auto"/>
          </w:tcPr>
          <w:p w:rsidR="005746AB" w:rsidRPr="00E711B8" w:rsidRDefault="005746AB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310" w:type="dxa"/>
            <w:shd w:val="clear" w:color="auto" w:fill="B8CCE4"/>
          </w:tcPr>
          <w:p w:rsidR="005746AB" w:rsidRPr="00E711B8" w:rsidRDefault="005746AB" w:rsidP="00106FF4">
            <w:pPr>
              <w:rPr>
                <w:lang w:val="sr-Cyrl-RS"/>
              </w:rPr>
            </w:pPr>
            <w:r w:rsidRPr="0091159B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5746AB" w:rsidRPr="00661D37" w:rsidRDefault="005746AB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41"/>
      </w:tblGrid>
      <w:tr w:rsidR="005746AB" w:rsidTr="00181707">
        <w:tc>
          <w:tcPr>
            <w:tcW w:w="3798" w:type="dxa"/>
            <w:shd w:val="clear" w:color="auto" w:fill="auto"/>
          </w:tcPr>
          <w:p w:rsidR="005746AB" w:rsidRDefault="005746AB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5746AB" w:rsidRDefault="005746AB" w:rsidP="00BE139B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Величковић, службеник за јавне набавке </w:t>
            </w:r>
          </w:p>
          <w:p w:rsidR="005746AB" w:rsidRDefault="005746AB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5746AB" w:rsidRDefault="005746AB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5746AB" w:rsidRPr="00E711B8" w:rsidTr="00255E26">
        <w:tc>
          <w:tcPr>
            <w:tcW w:w="3731" w:type="dxa"/>
            <w:shd w:val="clear" w:color="auto" w:fill="auto"/>
          </w:tcPr>
          <w:p w:rsidR="005746AB" w:rsidRPr="00E711B8" w:rsidRDefault="005746AB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285" w:type="dxa"/>
            <w:shd w:val="clear" w:color="auto" w:fill="B8CCE4"/>
          </w:tcPr>
          <w:p w:rsidR="005746AB" w:rsidRPr="00E711B8" w:rsidRDefault="005746AB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5746AB" w:rsidRDefault="005746AB" w:rsidP="00106FF4">
      <w:pPr>
        <w:tabs>
          <w:tab w:val="left" w:pos="5460"/>
        </w:tabs>
        <w:sectPr w:rsidR="005746AB" w:rsidSect="005746AB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5746AB" w:rsidRPr="00106FF4" w:rsidRDefault="005746AB" w:rsidP="00106FF4">
      <w:pPr>
        <w:tabs>
          <w:tab w:val="left" w:pos="5460"/>
        </w:tabs>
      </w:pPr>
    </w:p>
    <w:sectPr w:rsidR="005746AB" w:rsidRPr="00106FF4" w:rsidSect="005746AB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84" w:rsidRDefault="007D2784">
      <w:pPr>
        <w:spacing w:line="240" w:lineRule="auto"/>
      </w:pPr>
      <w:r>
        <w:separator/>
      </w:r>
    </w:p>
  </w:endnote>
  <w:endnote w:type="continuationSeparator" w:id="0">
    <w:p w:rsidR="007D2784" w:rsidRDefault="007D2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4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746AB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746AB" w:rsidRDefault="005746AB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746AB" w:rsidRDefault="00574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84" w:rsidRDefault="007D2784">
      <w:pPr>
        <w:spacing w:line="240" w:lineRule="auto"/>
      </w:pPr>
      <w:r>
        <w:separator/>
      </w:r>
    </w:p>
  </w:footnote>
  <w:footnote w:type="continuationSeparator" w:id="0">
    <w:p w:rsidR="007D2784" w:rsidRDefault="007D27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C3861"/>
    <w:rsid w:val="000D0FEA"/>
    <w:rsid w:val="000D735A"/>
    <w:rsid w:val="000E1D75"/>
    <w:rsid w:val="000F06F0"/>
    <w:rsid w:val="000F0773"/>
    <w:rsid w:val="000F1F99"/>
    <w:rsid w:val="00104C5A"/>
    <w:rsid w:val="00105DFF"/>
    <w:rsid w:val="00106FF4"/>
    <w:rsid w:val="00113763"/>
    <w:rsid w:val="0012154D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55E26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33134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746AB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41CF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2784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B360B"/>
    <w:rsid w:val="00BC62DB"/>
    <w:rsid w:val="00BD019E"/>
    <w:rsid w:val="00BD5636"/>
    <w:rsid w:val="00BD5C71"/>
    <w:rsid w:val="00BD7D56"/>
    <w:rsid w:val="00BE139B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CCEBC3"/>
  <w15:chartTrackingRefBased/>
  <w15:docId w15:val="{D7ECB0A4-8252-40C4-8115-B5F064DD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4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4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4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A564-5ADC-498B-8BC5-A489C4F4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3413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2</cp:revision>
  <cp:lastPrinted>1899-12-31T23:00:00Z</cp:lastPrinted>
  <dcterms:created xsi:type="dcterms:W3CDTF">2018-11-06T07:26:00Z</dcterms:created>
  <dcterms:modified xsi:type="dcterms:W3CDTF">2018-11-06T08:43:00Z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