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442" w:rsidRDefault="00AE3442" w:rsidP="00983EA5">
      <w:pPr>
        <w:spacing w:after="0" w:line="240" w:lineRule="auto"/>
        <w:ind w:firstLine="360"/>
        <w:jc w:val="center"/>
        <w:rPr>
          <w:rFonts w:eastAsia="Times New Roman" w:cstheme="minorHAnsi"/>
          <w:b/>
          <w:sz w:val="20"/>
          <w:szCs w:val="20"/>
          <w:lang w:val="en-GB"/>
        </w:rPr>
      </w:pPr>
      <w:r>
        <w:rPr>
          <w:rFonts w:eastAsia="Times New Roman" w:cstheme="minorHAnsi"/>
          <w:b/>
          <w:sz w:val="20"/>
          <w:szCs w:val="20"/>
          <w:lang w:val="en-GB"/>
        </w:rPr>
        <w:t>GROSS DOMESTIC PRODUCT</w:t>
      </w:r>
      <w:r w:rsidR="00E0125B">
        <w:rPr>
          <w:rFonts w:eastAsia="Times New Roman" w:cstheme="minorHAnsi"/>
          <w:b/>
          <w:sz w:val="20"/>
          <w:szCs w:val="20"/>
          <w:lang w:val="en-GB"/>
        </w:rPr>
        <w:t xml:space="preserve"> (GDP) 2015 – 2017: REVIS</w:t>
      </w:r>
      <w:bookmarkStart w:id="0" w:name="_GoBack"/>
      <w:bookmarkEnd w:id="0"/>
      <w:r w:rsidR="00E0125B">
        <w:rPr>
          <w:rFonts w:eastAsia="Times New Roman" w:cstheme="minorHAnsi"/>
          <w:b/>
          <w:sz w:val="20"/>
          <w:szCs w:val="20"/>
          <w:lang w:val="en-GB"/>
        </w:rPr>
        <w:t>ED DATA SERIES</w:t>
      </w:r>
      <w:r>
        <w:rPr>
          <w:rFonts w:eastAsia="Times New Roman" w:cstheme="minorHAnsi"/>
          <w:b/>
          <w:sz w:val="20"/>
          <w:szCs w:val="20"/>
          <w:lang w:val="en-GB"/>
        </w:rPr>
        <w:t xml:space="preserve"> </w:t>
      </w:r>
    </w:p>
    <w:p w:rsidR="00181128" w:rsidRPr="00AE3442" w:rsidRDefault="00181128" w:rsidP="00E11BC8">
      <w:pPr>
        <w:spacing w:after="0" w:line="240" w:lineRule="auto"/>
        <w:ind w:firstLine="360"/>
        <w:jc w:val="both"/>
        <w:rPr>
          <w:rFonts w:eastAsia="Times New Roman" w:cstheme="minorHAnsi"/>
          <w:sz w:val="20"/>
          <w:szCs w:val="20"/>
          <w:lang w:val="en-GB"/>
        </w:rPr>
      </w:pPr>
    </w:p>
    <w:p w:rsidR="00195F87" w:rsidRDefault="00195F87" w:rsidP="00E11BC8">
      <w:pPr>
        <w:spacing w:after="0" w:line="240" w:lineRule="auto"/>
        <w:ind w:firstLine="360"/>
        <w:jc w:val="both"/>
        <w:rPr>
          <w:rFonts w:eastAsia="Times New Roman" w:cstheme="minorHAnsi"/>
          <w:sz w:val="20"/>
          <w:szCs w:val="20"/>
          <w:lang w:val="en-GB"/>
        </w:rPr>
      </w:pPr>
    </w:p>
    <w:p w:rsidR="00195F87" w:rsidRDefault="00195F87" w:rsidP="00E11BC8">
      <w:pPr>
        <w:spacing w:after="0" w:line="240" w:lineRule="auto"/>
        <w:ind w:firstLine="360"/>
        <w:jc w:val="both"/>
        <w:rPr>
          <w:rFonts w:eastAsia="Times New Roman" w:cstheme="minorHAnsi"/>
          <w:sz w:val="20"/>
          <w:szCs w:val="20"/>
          <w:lang w:val="en-GB"/>
        </w:rPr>
      </w:pPr>
      <w:r>
        <w:rPr>
          <w:rFonts w:eastAsia="Times New Roman" w:cstheme="minorHAnsi"/>
          <w:sz w:val="20"/>
          <w:szCs w:val="20"/>
          <w:lang w:val="en-GB"/>
        </w:rPr>
        <w:t>The Statistical Office of the Republic of Serbia</w:t>
      </w:r>
      <w:r w:rsidR="00822931">
        <w:rPr>
          <w:rFonts w:eastAsia="Times New Roman" w:cstheme="minorHAnsi"/>
          <w:sz w:val="20"/>
          <w:szCs w:val="20"/>
          <w:lang w:val="en-GB"/>
        </w:rPr>
        <w:t xml:space="preserve"> (SORS)</w:t>
      </w:r>
      <w:r>
        <w:rPr>
          <w:rFonts w:eastAsia="Times New Roman" w:cstheme="minorHAnsi"/>
          <w:sz w:val="20"/>
          <w:szCs w:val="20"/>
          <w:lang w:val="en-GB"/>
        </w:rPr>
        <w:t xml:space="preserve"> implemented the revision of the GDP data for the years 2015 and 2016 and of the first published estimates (as the sum of the four quarters) for 2017. The new data series is going to be released on 01/10/2018.</w:t>
      </w:r>
    </w:p>
    <w:p w:rsidR="00195F87" w:rsidRDefault="00195F87" w:rsidP="00E11BC8">
      <w:pPr>
        <w:spacing w:after="0" w:line="240" w:lineRule="auto"/>
        <w:ind w:firstLine="360"/>
        <w:jc w:val="both"/>
        <w:rPr>
          <w:rFonts w:eastAsia="Times New Roman" w:cstheme="minorHAnsi"/>
          <w:sz w:val="20"/>
          <w:szCs w:val="20"/>
          <w:lang w:val="en-GB"/>
        </w:rPr>
      </w:pPr>
    </w:p>
    <w:p w:rsidR="005D101B" w:rsidRDefault="00195F87" w:rsidP="00195F87">
      <w:pPr>
        <w:spacing w:after="0" w:line="240" w:lineRule="auto"/>
        <w:ind w:firstLine="360"/>
        <w:jc w:val="both"/>
        <w:rPr>
          <w:rFonts w:cstheme="minorHAnsi"/>
          <w:sz w:val="20"/>
          <w:szCs w:val="20"/>
          <w:lang w:val="en-GB"/>
        </w:rPr>
      </w:pPr>
      <w:r>
        <w:rPr>
          <w:rFonts w:eastAsia="Times New Roman" w:cstheme="minorHAnsi"/>
          <w:sz w:val="20"/>
          <w:szCs w:val="20"/>
          <w:lang w:val="en-GB"/>
        </w:rPr>
        <w:t xml:space="preserve">The process of so-called </w:t>
      </w:r>
      <w:r w:rsidR="003116F8" w:rsidRPr="00AE3442">
        <w:rPr>
          <w:rFonts w:cstheme="minorHAnsi"/>
          <w:i/>
          <w:sz w:val="20"/>
          <w:szCs w:val="20"/>
          <w:lang w:val="en-GB"/>
        </w:rPr>
        <w:t>“</w:t>
      </w:r>
      <w:r>
        <w:rPr>
          <w:rFonts w:cstheme="minorHAnsi"/>
          <w:i/>
          <w:sz w:val="20"/>
          <w:szCs w:val="20"/>
          <w:lang w:val="en-GB"/>
        </w:rPr>
        <w:t>m</w:t>
      </w:r>
      <w:r w:rsidR="003116F8" w:rsidRPr="00AE3442">
        <w:rPr>
          <w:rFonts w:cstheme="minorHAnsi"/>
          <w:i/>
          <w:sz w:val="20"/>
          <w:szCs w:val="20"/>
          <w:lang w:val="en-GB"/>
        </w:rPr>
        <w:t xml:space="preserve">ajor </w:t>
      </w:r>
      <w:proofErr w:type="gramStart"/>
      <w:r w:rsidR="003116F8" w:rsidRPr="00AE3442">
        <w:rPr>
          <w:rFonts w:cstheme="minorHAnsi"/>
          <w:i/>
          <w:sz w:val="20"/>
          <w:szCs w:val="20"/>
          <w:lang w:val="en-GB"/>
        </w:rPr>
        <w:t>revision</w:t>
      </w:r>
      <w:r w:rsidRPr="00AE3442">
        <w:rPr>
          <w:rFonts w:cstheme="minorHAnsi"/>
          <w:i/>
          <w:sz w:val="20"/>
          <w:szCs w:val="20"/>
          <w:lang w:val="en-GB"/>
        </w:rPr>
        <w:t>“</w:t>
      </w:r>
      <w:r>
        <w:rPr>
          <w:rFonts w:cstheme="minorHAnsi"/>
          <w:i/>
          <w:sz w:val="20"/>
          <w:szCs w:val="20"/>
          <w:lang w:val="en-GB"/>
        </w:rPr>
        <w:t xml:space="preserve"> </w:t>
      </w:r>
      <w:r>
        <w:rPr>
          <w:rFonts w:cstheme="minorHAnsi"/>
          <w:sz w:val="20"/>
          <w:szCs w:val="20"/>
          <w:lang w:val="en-GB"/>
        </w:rPr>
        <w:t>in</w:t>
      </w:r>
      <w:proofErr w:type="gramEnd"/>
      <w:r>
        <w:rPr>
          <w:rFonts w:cstheme="minorHAnsi"/>
          <w:sz w:val="20"/>
          <w:szCs w:val="20"/>
          <w:lang w:val="en-GB"/>
        </w:rPr>
        <w:t xml:space="preserve"> national accounts</w:t>
      </w:r>
      <w:r w:rsidR="00822931">
        <w:rPr>
          <w:rFonts w:cstheme="minorHAnsi"/>
          <w:sz w:val="20"/>
          <w:szCs w:val="20"/>
          <w:lang w:val="en-GB"/>
        </w:rPr>
        <w:t xml:space="preserve"> is adopted as a standard and usual procedure that is regularly conducted every fifth year, which for the EU Member States has been announced for 2019. It is worthwhile remembering</w:t>
      </w:r>
      <w:r w:rsidR="001618EF">
        <w:rPr>
          <w:rFonts w:cstheme="minorHAnsi"/>
          <w:sz w:val="20"/>
          <w:szCs w:val="20"/>
          <w:lang w:val="en-GB"/>
        </w:rPr>
        <w:t xml:space="preserve"> that</w:t>
      </w:r>
      <w:r w:rsidR="00822931">
        <w:rPr>
          <w:rFonts w:cstheme="minorHAnsi"/>
          <w:sz w:val="20"/>
          <w:szCs w:val="20"/>
          <w:lang w:val="en-GB"/>
        </w:rPr>
        <w:t xml:space="preserve"> the last revision</w:t>
      </w:r>
      <w:r w:rsidR="001618EF">
        <w:rPr>
          <w:rFonts w:cstheme="minorHAnsi"/>
          <w:sz w:val="20"/>
          <w:szCs w:val="20"/>
          <w:lang w:val="en-GB"/>
        </w:rPr>
        <w:t xml:space="preserve"> of the GDP</w:t>
      </w:r>
      <w:r w:rsidR="00822931">
        <w:rPr>
          <w:rFonts w:cstheme="minorHAnsi"/>
          <w:sz w:val="20"/>
          <w:szCs w:val="20"/>
          <w:lang w:val="en-GB"/>
        </w:rPr>
        <w:t xml:space="preserve"> was implemented in 2014, along with introducing the new methodological frame ESA 2010 (European System of Accounts). Due to the importance of the GDP estimates and users’ requirements to have available updated GDP estimates as promptly as possible, SORS</w:t>
      </w:r>
      <w:r w:rsidR="00084A99">
        <w:rPr>
          <w:rFonts w:cstheme="minorHAnsi"/>
          <w:sz w:val="20"/>
          <w:szCs w:val="20"/>
          <w:lang w:val="en-GB"/>
        </w:rPr>
        <w:t xml:space="preserve"> has decided</w:t>
      </w:r>
      <w:r w:rsidR="00822931">
        <w:rPr>
          <w:rFonts w:cstheme="minorHAnsi"/>
          <w:sz w:val="20"/>
          <w:szCs w:val="20"/>
          <w:lang w:val="en-GB"/>
        </w:rPr>
        <w:t xml:space="preserve">, </w:t>
      </w:r>
      <w:r w:rsidR="00084A99">
        <w:rPr>
          <w:rFonts w:cstheme="minorHAnsi"/>
          <w:sz w:val="20"/>
          <w:szCs w:val="20"/>
          <w:lang w:val="en-GB"/>
        </w:rPr>
        <w:t>in consultation</w:t>
      </w:r>
      <w:r w:rsidR="00822931">
        <w:rPr>
          <w:rFonts w:cstheme="minorHAnsi"/>
          <w:sz w:val="20"/>
          <w:szCs w:val="20"/>
          <w:lang w:val="en-GB"/>
        </w:rPr>
        <w:t xml:space="preserve"> with</w:t>
      </w:r>
      <w:r w:rsidR="00084A99">
        <w:rPr>
          <w:rFonts w:cstheme="minorHAnsi"/>
          <w:sz w:val="20"/>
          <w:szCs w:val="20"/>
          <w:lang w:val="en-GB"/>
        </w:rPr>
        <w:t xml:space="preserve"> representatives </w:t>
      </w:r>
      <w:r w:rsidR="001618EF">
        <w:rPr>
          <w:rFonts w:cstheme="minorHAnsi"/>
          <w:sz w:val="20"/>
          <w:szCs w:val="20"/>
          <w:lang w:val="en-GB"/>
        </w:rPr>
        <w:t>from</w:t>
      </w:r>
      <w:r w:rsidR="00084A99">
        <w:rPr>
          <w:rFonts w:cstheme="minorHAnsi"/>
          <w:sz w:val="20"/>
          <w:szCs w:val="20"/>
          <w:lang w:val="en-GB"/>
        </w:rPr>
        <w:t xml:space="preserve"> the IMF, the Ministry of Finance and the National Bank of Serbia, to start publishing the first revised data series even earlier, already in 2018, which is</w:t>
      </w:r>
      <w:r w:rsidR="001618EF">
        <w:rPr>
          <w:rFonts w:cstheme="minorHAnsi"/>
          <w:sz w:val="20"/>
          <w:szCs w:val="20"/>
          <w:lang w:val="en-GB"/>
        </w:rPr>
        <w:t xml:space="preserve"> in</w:t>
      </w:r>
      <w:r w:rsidR="00084A99">
        <w:rPr>
          <w:rFonts w:cstheme="minorHAnsi"/>
          <w:sz w:val="20"/>
          <w:szCs w:val="20"/>
          <w:lang w:val="en-GB"/>
        </w:rPr>
        <w:t xml:space="preserve"> compliance with the policy of revisions </w:t>
      </w:r>
      <w:r w:rsidR="00640575">
        <w:rPr>
          <w:rFonts w:cstheme="minorHAnsi"/>
          <w:sz w:val="20"/>
          <w:szCs w:val="20"/>
          <w:lang w:val="en-GB"/>
        </w:rPr>
        <w:t xml:space="preserve">prescribed by Eurostat, </w:t>
      </w:r>
      <w:r w:rsidR="007B600F">
        <w:rPr>
          <w:rFonts w:cstheme="minorHAnsi"/>
          <w:sz w:val="20"/>
          <w:szCs w:val="20"/>
          <w:lang w:val="en-GB"/>
        </w:rPr>
        <w:t xml:space="preserve">and the entire process of revision and publication of the revised data series to be accomplished in 2019 together with other EU NSIs. The obligation of publishing the revised GDP data series for the years 2015 – 2017, according to the agreement </w:t>
      </w:r>
      <w:r w:rsidR="00275E45">
        <w:rPr>
          <w:rFonts w:cstheme="minorHAnsi"/>
          <w:sz w:val="20"/>
          <w:szCs w:val="20"/>
          <w:lang w:val="en-GB"/>
        </w:rPr>
        <w:t>with the representatives of the IMF, is envisaged in the Program Statement that outlines the Government’s objectives, setting out the policies that the Government and the National Bank of Serbia (NBS) intend to implement within the new macroeconomic and structural reform program</w:t>
      </w:r>
      <w:r w:rsidR="00550971">
        <w:rPr>
          <w:rFonts w:cstheme="minorHAnsi"/>
          <w:sz w:val="20"/>
          <w:szCs w:val="20"/>
          <w:lang w:val="en-GB"/>
        </w:rPr>
        <w:t>,</w:t>
      </w:r>
      <w:r w:rsidR="00275E45">
        <w:rPr>
          <w:rFonts w:cstheme="minorHAnsi"/>
          <w:sz w:val="20"/>
          <w:szCs w:val="20"/>
          <w:lang w:val="en-GB"/>
        </w:rPr>
        <w:t xml:space="preserve"> supported by </w:t>
      </w:r>
      <w:r w:rsidR="00275E45" w:rsidRPr="00376E05">
        <w:rPr>
          <w:rFonts w:cstheme="minorHAnsi"/>
          <w:sz w:val="20"/>
          <w:szCs w:val="20"/>
          <w:lang w:val="en-GB"/>
        </w:rPr>
        <w:t xml:space="preserve">the </w:t>
      </w:r>
      <w:r w:rsidR="00376E05">
        <w:rPr>
          <w:rFonts w:cstheme="minorHAnsi"/>
          <w:sz w:val="20"/>
          <w:szCs w:val="20"/>
          <w:lang w:val="en-GB"/>
        </w:rPr>
        <w:t xml:space="preserve">Policy </w:t>
      </w:r>
      <w:r w:rsidR="00275E45" w:rsidRPr="00376E05">
        <w:rPr>
          <w:rFonts w:cstheme="minorHAnsi"/>
          <w:sz w:val="20"/>
          <w:szCs w:val="20"/>
          <w:lang w:val="en-GB"/>
        </w:rPr>
        <w:t>Coordination Instrument (PCI)</w:t>
      </w:r>
      <w:r w:rsidR="00550971">
        <w:rPr>
          <w:rFonts w:cstheme="minorHAnsi"/>
          <w:sz w:val="20"/>
          <w:szCs w:val="20"/>
          <w:lang w:val="en-GB"/>
        </w:rPr>
        <w:t>,</w:t>
      </w:r>
      <w:r w:rsidR="005D101B">
        <w:rPr>
          <w:rFonts w:cstheme="minorHAnsi"/>
          <w:sz w:val="20"/>
          <w:szCs w:val="20"/>
          <w:lang w:val="en-GB"/>
        </w:rPr>
        <w:t xml:space="preserve"> for the period August 2018 – January 202</w:t>
      </w:r>
      <w:r w:rsidR="0014748F">
        <w:rPr>
          <w:rFonts w:cstheme="minorHAnsi"/>
          <w:sz w:val="20"/>
          <w:szCs w:val="20"/>
          <w:lang w:val="en-GB"/>
        </w:rPr>
        <w:t>1</w:t>
      </w:r>
      <w:r w:rsidR="005D101B">
        <w:rPr>
          <w:rFonts w:cstheme="minorHAnsi"/>
          <w:sz w:val="20"/>
          <w:szCs w:val="20"/>
          <w:lang w:val="en-GB"/>
        </w:rPr>
        <w:t>. It is important to note that the GDP calculations for the observed years were carried out under the supervision and with the technical assistance by the IMF mission. SORS announced the process of the GD</w:t>
      </w:r>
      <w:r w:rsidR="00550971">
        <w:rPr>
          <w:rFonts w:cstheme="minorHAnsi"/>
          <w:sz w:val="20"/>
          <w:szCs w:val="20"/>
          <w:lang w:val="en-GB"/>
        </w:rPr>
        <w:t>P</w:t>
      </w:r>
      <w:r w:rsidR="005D101B">
        <w:rPr>
          <w:rFonts w:cstheme="minorHAnsi"/>
          <w:sz w:val="20"/>
          <w:szCs w:val="20"/>
          <w:lang w:val="en-GB"/>
        </w:rPr>
        <w:t xml:space="preserve"> revision at the session of the Statistical council held on 21/06/2018, which was attended by the representatives of the Ministry of Finance and the National bank of Serbia, together with other representatives of official statistics users.</w:t>
      </w:r>
    </w:p>
    <w:p w:rsidR="001E078B" w:rsidRDefault="001E078B" w:rsidP="00195F87">
      <w:pPr>
        <w:spacing w:after="0" w:line="240" w:lineRule="auto"/>
        <w:ind w:firstLine="360"/>
        <w:jc w:val="both"/>
        <w:rPr>
          <w:rFonts w:cstheme="minorHAnsi"/>
          <w:sz w:val="20"/>
          <w:szCs w:val="20"/>
          <w:lang w:val="en-GB"/>
        </w:rPr>
      </w:pPr>
    </w:p>
    <w:p w:rsidR="00195F87" w:rsidRDefault="00C07AD6" w:rsidP="00195F87">
      <w:pPr>
        <w:spacing w:after="0" w:line="240" w:lineRule="auto"/>
        <w:ind w:firstLine="360"/>
        <w:jc w:val="both"/>
        <w:rPr>
          <w:rFonts w:cstheme="minorHAnsi"/>
          <w:sz w:val="20"/>
          <w:szCs w:val="20"/>
          <w:lang w:val="en-GB"/>
        </w:rPr>
      </w:pPr>
      <w:r>
        <w:rPr>
          <w:rFonts w:cstheme="minorHAnsi"/>
          <w:sz w:val="20"/>
          <w:szCs w:val="20"/>
          <w:lang w:val="en-GB"/>
        </w:rPr>
        <w:t>In the forthcoming stage, the revision of data series for the period backwards to 2005 is envisaged to be implemented until the end 2018, and the data 2005 backwards (starting from 1995) will be revised, i.e. the entire series is going to be completed</w:t>
      </w:r>
      <w:r w:rsidR="00E85883">
        <w:rPr>
          <w:rFonts w:cstheme="minorHAnsi"/>
          <w:sz w:val="20"/>
          <w:szCs w:val="20"/>
          <w:lang w:val="en-GB"/>
        </w:rPr>
        <w:t xml:space="preserve"> during 2019, as in the EU Member States.</w:t>
      </w:r>
      <w:r>
        <w:rPr>
          <w:rFonts w:cstheme="minorHAnsi"/>
          <w:sz w:val="20"/>
          <w:szCs w:val="20"/>
          <w:lang w:val="en-GB"/>
        </w:rPr>
        <w:t xml:space="preserve">   </w:t>
      </w:r>
      <w:r w:rsidR="005D101B">
        <w:rPr>
          <w:rFonts w:cstheme="minorHAnsi"/>
          <w:sz w:val="20"/>
          <w:szCs w:val="20"/>
          <w:lang w:val="en-GB"/>
        </w:rPr>
        <w:t xml:space="preserve"> </w:t>
      </w:r>
      <w:r w:rsidR="00275E45">
        <w:rPr>
          <w:rFonts w:cstheme="minorHAnsi"/>
          <w:sz w:val="20"/>
          <w:szCs w:val="20"/>
          <w:lang w:val="en-GB"/>
        </w:rPr>
        <w:t xml:space="preserve">      </w:t>
      </w:r>
      <w:r w:rsidR="007B600F">
        <w:rPr>
          <w:rFonts w:cstheme="minorHAnsi"/>
          <w:sz w:val="20"/>
          <w:szCs w:val="20"/>
          <w:lang w:val="en-GB"/>
        </w:rPr>
        <w:t xml:space="preserve"> </w:t>
      </w:r>
      <w:r w:rsidR="00084A99">
        <w:rPr>
          <w:rFonts w:cstheme="minorHAnsi"/>
          <w:sz w:val="20"/>
          <w:szCs w:val="20"/>
          <w:lang w:val="en-GB"/>
        </w:rPr>
        <w:t xml:space="preserve">    </w:t>
      </w:r>
      <w:r w:rsidR="00822931">
        <w:rPr>
          <w:rFonts w:cstheme="minorHAnsi"/>
          <w:sz w:val="20"/>
          <w:szCs w:val="20"/>
          <w:lang w:val="en-GB"/>
        </w:rPr>
        <w:t xml:space="preserve">        </w:t>
      </w:r>
    </w:p>
    <w:p w:rsidR="00195F87" w:rsidRDefault="00195F87" w:rsidP="00195F87">
      <w:pPr>
        <w:spacing w:after="0" w:line="240" w:lineRule="auto"/>
        <w:ind w:firstLine="360"/>
        <w:jc w:val="both"/>
        <w:rPr>
          <w:rFonts w:cstheme="minorHAnsi"/>
          <w:sz w:val="20"/>
          <w:szCs w:val="20"/>
          <w:lang w:val="en-GB"/>
        </w:rPr>
      </w:pPr>
    </w:p>
    <w:p w:rsidR="00E85883" w:rsidRDefault="00E85883" w:rsidP="00195F87">
      <w:pPr>
        <w:spacing w:after="0" w:line="240" w:lineRule="auto"/>
        <w:ind w:firstLine="360"/>
        <w:jc w:val="both"/>
        <w:rPr>
          <w:rFonts w:cstheme="minorHAnsi"/>
          <w:sz w:val="20"/>
          <w:szCs w:val="20"/>
          <w:lang w:val="en-GB"/>
        </w:rPr>
      </w:pPr>
      <w:r>
        <w:rPr>
          <w:rFonts w:cstheme="minorHAnsi"/>
          <w:sz w:val="20"/>
          <w:szCs w:val="20"/>
          <w:lang w:val="en-GB"/>
        </w:rPr>
        <w:t>In presently accomplished revision of GDP data, all accumulated methodological improvements were implemented, as well as the new data sources that became</w:t>
      </w:r>
      <w:r w:rsidR="00394382">
        <w:rPr>
          <w:rFonts w:cstheme="minorHAnsi"/>
          <w:sz w:val="20"/>
          <w:szCs w:val="20"/>
          <w:lang w:val="en-GB"/>
        </w:rPr>
        <w:t xml:space="preserve"> available in the period from the last revision in 2014. The following are the main and immediate reasons for the GDP revision and early publication of the revised GDP data series for the period 2015 – 2017:  </w:t>
      </w:r>
      <w:r>
        <w:rPr>
          <w:rFonts w:cstheme="minorHAnsi"/>
          <w:sz w:val="20"/>
          <w:szCs w:val="20"/>
          <w:lang w:val="en-GB"/>
        </w:rPr>
        <w:t xml:space="preserve"> </w:t>
      </w:r>
    </w:p>
    <w:p w:rsidR="00195F87" w:rsidRDefault="00195F87" w:rsidP="00195F87">
      <w:pPr>
        <w:spacing w:after="0" w:line="240" w:lineRule="auto"/>
        <w:ind w:firstLine="360"/>
        <w:jc w:val="both"/>
        <w:rPr>
          <w:rFonts w:cstheme="minorHAnsi"/>
          <w:sz w:val="20"/>
          <w:szCs w:val="20"/>
          <w:lang w:val="en-GB"/>
        </w:rPr>
      </w:pPr>
      <w:r>
        <w:rPr>
          <w:rFonts w:cstheme="minorHAnsi"/>
          <w:sz w:val="20"/>
          <w:szCs w:val="20"/>
          <w:lang w:val="en-GB"/>
        </w:rPr>
        <w:t xml:space="preserve"> </w:t>
      </w:r>
    </w:p>
    <w:p w:rsidR="00233D26" w:rsidRPr="00457F78" w:rsidRDefault="00233D26" w:rsidP="00233D26">
      <w:pPr>
        <w:pStyle w:val="ListParagraph"/>
        <w:widowControl w:val="0"/>
        <w:numPr>
          <w:ilvl w:val="0"/>
          <w:numId w:val="7"/>
        </w:numPr>
        <w:tabs>
          <w:tab w:val="left" w:pos="297"/>
        </w:tabs>
        <w:autoSpaceDE w:val="0"/>
        <w:autoSpaceDN w:val="0"/>
        <w:spacing w:after="0" w:line="252" w:lineRule="auto"/>
        <w:ind w:right="108"/>
        <w:contextualSpacing w:val="0"/>
        <w:jc w:val="both"/>
        <w:rPr>
          <w:color w:val="3F4D49"/>
          <w:sz w:val="20"/>
          <w:szCs w:val="20"/>
        </w:rPr>
      </w:pPr>
      <w:r w:rsidRPr="00457F78">
        <w:rPr>
          <w:color w:val="3F4D49"/>
          <w:w w:val="105"/>
          <w:sz w:val="20"/>
          <w:szCs w:val="20"/>
        </w:rPr>
        <w:t xml:space="preserve">Data on imports of </w:t>
      </w:r>
      <w:r w:rsidRPr="00457F78">
        <w:rPr>
          <w:color w:val="3F4D49"/>
          <w:spacing w:val="-4"/>
          <w:w w:val="105"/>
          <w:sz w:val="20"/>
          <w:szCs w:val="20"/>
        </w:rPr>
        <w:t>good</w:t>
      </w:r>
      <w:r w:rsidRPr="00457F78">
        <w:rPr>
          <w:color w:val="5B6664"/>
          <w:spacing w:val="-4"/>
          <w:w w:val="105"/>
          <w:sz w:val="20"/>
          <w:szCs w:val="20"/>
        </w:rPr>
        <w:t xml:space="preserve">s </w:t>
      </w:r>
      <w:r w:rsidRPr="00457F78">
        <w:rPr>
          <w:color w:val="3F4D49"/>
          <w:w w:val="105"/>
          <w:sz w:val="20"/>
          <w:szCs w:val="20"/>
        </w:rPr>
        <w:t>were significantly improved by eliminating the identified shortcomings in the database of the Customs Administration for the period 2016 backward</w:t>
      </w:r>
      <w:r w:rsidRPr="00457F78">
        <w:rPr>
          <w:color w:val="5B6664"/>
          <w:w w:val="105"/>
          <w:sz w:val="20"/>
          <w:szCs w:val="20"/>
        </w:rPr>
        <w:t>s. The n</w:t>
      </w:r>
      <w:r w:rsidRPr="00457F78">
        <w:rPr>
          <w:color w:val="3F4D49"/>
          <w:w w:val="105"/>
          <w:sz w:val="20"/>
          <w:szCs w:val="20"/>
        </w:rPr>
        <w:t>ew data series on imports of goods for the period 2015</w:t>
      </w:r>
      <w:r w:rsidR="00550971" w:rsidRPr="00457F78">
        <w:rPr>
          <w:color w:val="3F4D49"/>
          <w:w w:val="105"/>
          <w:sz w:val="20"/>
          <w:szCs w:val="20"/>
        </w:rPr>
        <w:t xml:space="preserve"> – </w:t>
      </w:r>
      <w:r w:rsidRPr="00457F78">
        <w:rPr>
          <w:color w:val="3F4D49"/>
          <w:w w:val="105"/>
          <w:sz w:val="20"/>
          <w:szCs w:val="20"/>
        </w:rPr>
        <w:t>2017</w:t>
      </w:r>
      <w:r w:rsidR="00550971" w:rsidRPr="00457F78">
        <w:rPr>
          <w:color w:val="3F4D49"/>
          <w:w w:val="105"/>
          <w:sz w:val="20"/>
          <w:szCs w:val="20"/>
        </w:rPr>
        <w:t xml:space="preserve"> </w:t>
      </w:r>
      <w:r w:rsidR="002E2609" w:rsidRPr="00457F78">
        <w:rPr>
          <w:color w:val="3F4D49"/>
          <w:w w:val="105"/>
          <w:sz w:val="20"/>
          <w:szCs w:val="20"/>
        </w:rPr>
        <w:t xml:space="preserve">were </w:t>
      </w:r>
      <w:r w:rsidRPr="00457F78">
        <w:rPr>
          <w:color w:val="3F4D49"/>
          <w:w w:val="105"/>
          <w:sz w:val="20"/>
          <w:szCs w:val="20"/>
        </w:rPr>
        <w:t xml:space="preserve">included in the revised </w:t>
      </w:r>
      <w:r w:rsidR="002E2609" w:rsidRPr="00457F78">
        <w:rPr>
          <w:color w:val="3F4D49"/>
          <w:w w:val="105"/>
          <w:sz w:val="20"/>
          <w:szCs w:val="20"/>
        </w:rPr>
        <w:t xml:space="preserve">GDP </w:t>
      </w:r>
      <w:r w:rsidRPr="00457F78">
        <w:rPr>
          <w:color w:val="3F4D49"/>
          <w:w w:val="105"/>
          <w:sz w:val="20"/>
          <w:szCs w:val="20"/>
        </w:rPr>
        <w:t>figures.</w:t>
      </w:r>
    </w:p>
    <w:p w:rsidR="00233D26" w:rsidRPr="00550971" w:rsidRDefault="00233D26" w:rsidP="00233D26">
      <w:pPr>
        <w:pStyle w:val="ListParagraph"/>
        <w:widowControl w:val="0"/>
        <w:numPr>
          <w:ilvl w:val="0"/>
          <w:numId w:val="7"/>
        </w:numPr>
        <w:tabs>
          <w:tab w:val="left" w:pos="280"/>
        </w:tabs>
        <w:autoSpaceDE w:val="0"/>
        <w:autoSpaceDN w:val="0"/>
        <w:spacing w:after="0" w:line="249" w:lineRule="auto"/>
        <w:ind w:right="125"/>
        <w:contextualSpacing w:val="0"/>
        <w:jc w:val="both"/>
        <w:rPr>
          <w:color w:val="2D3B38"/>
          <w:sz w:val="20"/>
          <w:szCs w:val="20"/>
        </w:rPr>
      </w:pPr>
      <w:r w:rsidRPr="00550971">
        <w:rPr>
          <w:color w:val="3F4D49"/>
          <w:sz w:val="20"/>
          <w:szCs w:val="20"/>
        </w:rPr>
        <w:t xml:space="preserve">New </w:t>
      </w:r>
      <w:proofErr w:type="spellStart"/>
      <w:r w:rsidRPr="00550971">
        <w:rPr>
          <w:color w:val="3F4D49"/>
          <w:sz w:val="20"/>
          <w:szCs w:val="20"/>
        </w:rPr>
        <w:t>sectorization</w:t>
      </w:r>
      <w:proofErr w:type="spellEnd"/>
      <w:r w:rsidR="002E2609" w:rsidRPr="00550971">
        <w:rPr>
          <w:color w:val="3F4D49"/>
          <w:sz w:val="20"/>
          <w:szCs w:val="20"/>
        </w:rPr>
        <w:t xml:space="preserve">, </w:t>
      </w:r>
      <w:r w:rsidRPr="00550971">
        <w:rPr>
          <w:color w:val="3F4D49"/>
          <w:sz w:val="20"/>
          <w:szCs w:val="20"/>
        </w:rPr>
        <w:t xml:space="preserve">i.e. the </w:t>
      </w:r>
      <w:r w:rsidR="002E2609" w:rsidRPr="00550971">
        <w:rPr>
          <w:color w:val="3F4D49"/>
          <w:sz w:val="20"/>
          <w:szCs w:val="20"/>
        </w:rPr>
        <w:t>new</w:t>
      </w:r>
      <w:r w:rsidRPr="00550971">
        <w:rPr>
          <w:color w:val="3F4D49"/>
          <w:sz w:val="20"/>
          <w:szCs w:val="20"/>
        </w:rPr>
        <w:t xml:space="preserve"> delineation of the </w:t>
      </w:r>
      <w:r w:rsidR="0014748F">
        <w:rPr>
          <w:color w:val="3F4D49"/>
          <w:sz w:val="20"/>
          <w:szCs w:val="20"/>
        </w:rPr>
        <w:t xml:space="preserve">General </w:t>
      </w:r>
      <w:r w:rsidRPr="00550971">
        <w:rPr>
          <w:color w:val="3F4D49"/>
          <w:sz w:val="20"/>
          <w:szCs w:val="20"/>
        </w:rPr>
        <w:t xml:space="preserve">Government </w:t>
      </w:r>
      <w:r w:rsidR="002E2609" w:rsidRPr="00550971">
        <w:rPr>
          <w:color w:val="3F4D49"/>
          <w:sz w:val="20"/>
          <w:szCs w:val="20"/>
        </w:rPr>
        <w:t>has been implemented</w:t>
      </w:r>
      <w:r w:rsidRPr="00550971">
        <w:rPr>
          <w:color w:val="3F4D49"/>
          <w:sz w:val="20"/>
          <w:szCs w:val="20"/>
        </w:rPr>
        <w:t xml:space="preserve"> in 2018</w:t>
      </w:r>
      <w:r w:rsidR="002E2609" w:rsidRPr="00550971">
        <w:rPr>
          <w:color w:val="3F4D49"/>
          <w:sz w:val="20"/>
          <w:szCs w:val="20"/>
        </w:rPr>
        <w:t xml:space="preserve">, </w:t>
      </w:r>
      <w:r w:rsidR="002E2609" w:rsidRPr="00550971">
        <w:rPr>
          <w:color w:val="5B6664"/>
          <w:sz w:val="20"/>
          <w:szCs w:val="20"/>
        </w:rPr>
        <w:t>which</w:t>
      </w:r>
      <w:r w:rsidRPr="00550971">
        <w:rPr>
          <w:color w:val="3F4D49"/>
          <w:sz w:val="20"/>
          <w:szCs w:val="20"/>
        </w:rPr>
        <w:t xml:space="preserve"> also </w:t>
      </w:r>
      <w:r w:rsidR="002E2609" w:rsidRPr="00550971">
        <w:rPr>
          <w:color w:val="3F4D49"/>
          <w:sz w:val="20"/>
          <w:szCs w:val="20"/>
        </w:rPr>
        <w:t>influenced the</w:t>
      </w:r>
      <w:r w:rsidRPr="00550971">
        <w:rPr>
          <w:color w:val="3F4D49"/>
          <w:sz w:val="20"/>
          <w:szCs w:val="20"/>
        </w:rPr>
        <w:t xml:space="preserve"> </w:t>
      </w:r>
      <w:r w:rsidR="002E2609" w:rsidRPr="00550971">
        <w:rPr>
          <w:color w:val="3F4D49"/>
          <w:sz w:val="20"/>
          <w:szCs w:val="20"/>
        </w:rPr>
        <w:t xml:space="preserve">GDP </w:t>
      </w:r>
      <w:r w:rsidRPr="00550971">
        <w:rPr>
          <w:color w:val="3F4D49"/>
          <w:sz w:val="20"/>
          <w:szCs w:val="20"/>
        </w:rPr>
        <w:t xml:space="preserve">calculations </w:t>
      </w:r>
      <w:r w:rsidR="002E2609" w:rsidRPr="00550971">
        <w:rPr>
          <w:color w:val="3F4D49"/>
          <w:sz w:val="20"/>
          <w:szCs w:val="20"/>
        </w:rPr>
        <w:t>by</w:t>
      </w:r>
      <w:r w:rsidRPr="00550971">
        <w:rPr>
          <w:color w:val="3F4D49"/>
          <w:sz w:val="20"/>
          <w:szCs w:val="20"/>
        </w:rPr>
        <w:t xml:space="preserve"> institutional</w:t>
      </w:r>
      <w:r w:rsidRPr="00550971">
        <w:rPr>
          <w:color w:val="3F4D49"/>
          <w:spacing w:val="17"/>
          <w:sz w:val="20"/>
          <w:szCs w:val="20"/>
        </w:rPr>
        <w:t xml:space="preserve"> </w:t>
      </w:r>
      <w:r w:rsidRPr="00550971">
        <w:rPr>
          <w:color w:val="3F4D49"/>
          <w:spacing w:val="-3"/>
          <w:sz w:val="20"/>
          <w:szCs w:val="20"/>
        </w:rPr>
        <w:t>sector</w:t>
      </w:r>
      <w:r w:rsidR="002E2609" w:rsidRPr="00550971">
        <w:rPr>
          <w:color w:val="3F4D49"/>
          <w:spacing w:val="-3"/>
          <w:sz w:val="20"/>
          <w:szCs w:val="20"/>
        </w:rPr>
        <w:t>s</w:t>
      </w:r>
      <w:r w:rsidRPr="00550971">
        <w:rPr>
          <w:color w:val="5B6664"/>
          <w:spacing w:val="-3"/>
          <w:sz w:val="20"/>
          <w:szCs w:val="20"/>
        </w:rPr>
        <w:t>.</w:t>
      </w:r>
    </w:p>
    <w:p w:rsidR="00233D26" w:rsidRDefault="002E2609" w:rsidP="00233D26">
      <w:pPr>
        <w:pStyle w:val="ListParagraph"/>
        <w:widowControl w:val="0"/>
        <w:numPr>
          <w:ilvl w:val="0"/>
          <w:numId w:val="7"/>
        </w:numPr>
        <w:tabs>
          <w:tab w:val="left" w:pos="299"/>
        </w:tabs>
        <w:autoSpaceDE w:val="0"/>
        <w:autoSpaceDN w:val="0"/>
        <w:spacing w:before="3" w:after="0" w:line="254" w:lineRule="auto"/>
        <w:ind w:right="123"/>
        <w:contextualSpacing w:val="0"/>
        <w:jc w:val="both"/>
        <w:rPr>
          <w:color w:val="2D3B38"/>
          <w:sz w:val="21"/>
        </w:rPr>
      </w:pPr>
      <w:r w:rsidRPr="00550971">
        <w:rPr>
          <w:color w:val="3F4D49"/>
          <w:sz w:val="20"/>
          <w:szCs w:val="20"/>
        </w:rPr>
        <w:t xml:space="preserve">The </w:t>
      </w:r>
      <w:r w:rsidR="00233D26" w:rsidRPr="00550971">
        <w:rPr>
          <w:color w:val="3F4D49"/>
          <w:sz w:val="20"/>
          <w:szCs w:val="20"/>
        </w:rPr>
        <w:t xml:space="preserve">new database of the Central </w:t>
      </w:r>
      <w:r w:rsidR="00233D26" w:rsidRPr="00550971">
        <w:rPr>
          <w:color w:val="2D3B38"/>
          <w:sz w:val="20"/>
          <w:szCs w:val="20"/>
        </w:rPr>
        <w:t xml:space="preserve">Register </w:t>
      </w:r>
      <w:r w:rsidR="00233D26" w:rsidRPr="00550971">
        <w:rPr>
          <w:color w:val="3F4D49"/>
          <w:sz w:val="20"/>
          <w:szCs w:val="20"/>
        </w:rPr>
        <w:t>of  Compulsory  Social  Security  (CROSO)</w:t>
      </w:r>
      <w:r w:rsidR="00233D26" w:rsidRPr="00550971">
        <w:rPr>
          <w:color w:val="5B6664"/>
          <w:sz w:val="20"/>
          <w:szCs w:val="20"/>
        </w:rPr>
        <w:t xml:space="preserve">,  </w:t>
      </w:r>
      <w:r w:rsidRPr="00550971">
        <w:rPr>
          <w:color w:val="3F4D49"/>
          <w:sz w:val="20"/>
          <w:szCs w:val="20"/>
        </w:rPr>
        <w:t>available</w:t>
      </w:r>
      <w:r w:rsidR="00233D26" w:rsidRPr="00550971">
        <w:rPr>
          <w:color w:val="3F4D49"/>
          <w:sz w:val="20"/>
          <w:szCs w:val="20"/>
        </w:rPr>
        <w:t xml:space="preserve">  </w:t>
      </w:r>
      <w:r w:rsidRPr="00550971">
        <w:rPr>
          <w:color w:val="3F4D49"/>
          <w:sz w:val="20"/>
          <w:szCs w:val="20"/>
        </w:rPr>
        <w:t xml:space="preserve">  only starting from </w:t>
      </w:r>
      <w:r w:rsidR="00233D26" w:rsidRPr="00550971">
        <w:rPr>
          <w:color w:val="3F4D49"/>
          <w:spacing w:val="-3"/>
          <w:sz w:val="20"/>
          <w:szCs w:val="20"/>
        </w:rPr>
        <w:t>2016</w:t>
      </w:r>
      <w:r w:rsidR="00233D26" w:rsidRPr="00550971">
        <w:rPr>
          <w:color w:val="5B6664"/>
          <w:spacing w:val="-3"/>
          <w:sz w:val="20"/>
          <w:szCs w:val="20"/>
        </w:rPr>
        <w:t xml:space="preserve">, </w:t>
      </w:r>
      <w:r w:rsidRPr="00550971">
        <w:rPr>
          <w:color w:val="3F4D49"/>
          <w:sz w:val="20"/>
          <w:szCs w:val="20"/>
        </w:rPr>
        <w:t>ensured better</w:t>
      </w:r>
      <w:r w:rsidR="00233D26" w:rsidRPr="00550971">
        <w:rPr>
          <w:color w:val="3F4D49"/>
          <w:sz w:val="20"/>
          <w:szCs w:val="20"/>
        </w:rPr>
        <w:t xml:space="preserve"> estimates of formal employment and </w:t>
      </w:r>
      <w:r w:rsidRPr="00550971">
        <w:rPr>
          <w:color w:val="3F4D49"/>
          <w:sz w:val="20"/>
          <w:szCs w:val="20"/>
        </w:rPr>
        <w:t>therefore</w:t>
      </w:r>
      <w:r w:rsidR="00233D26" w:rsidRPr="00550971">
        <w:rPr>
          <w:color w:val="3F4D49"/>
          <w:sz w:val="20"/>
          <w:szCs w:val="20"/>
        </w:rPr>
        <w:t xml:space="preserve"> of </w:t>
      </w:r>
      <w:r w:rsidR="00233D26" w:rsidRPr="00550971">
        <w:rPr>
          <w:color w:val="2D3B38"/>
          <w:sz w:val="20"/>
          <w:szCs w:val="20"/>
        </w:rPr>
        <w:t xml:space="preserve">informal </w:t>
      </w:r>
      <w:r w:rsidR="00233D26" w:rsidRPr="00550971">
        <w:rPr>
          <w:color w:val="3F4D49"/>
          <w:sz w:val="20"/>
          <w:szCs w:val="20"/>
        </w:rPr>
        <w:t xml:space="preserve">employment and </w:t>
      </w:r>
      <w:r w:rsidRPr="00550971">
        <w:rPr>
          <w:color w:val="3F4D49"/>
          <w:sz w:val="20"/>
          <w:szCs w:val="20"/>
        </w:rPr>
        <w:t>non-observed</w:t>
      </w:r>
      <w:r w:rsidR="00233D26" w:rsidRPr="00550971">
        <w:rPr>
          <w:color w:val="3F4D49"/>
          <w:sz w:val="20"/>
          <w:szCs w:val="20"/>
        </w:rPr>
        <w:t xml:space="preserve"> economy (NOE) </w:t>
      </w:r>
      <w:r w:rsidR="00233D26" w:rsidRPr="00550971">
        <w:rPr>
          <w:color w:val="3F4D49"/>
          <w:spacing w:val="1"/>
          <w:sz w:val="20"/>
          <w:szCs w:val="20"/>
        </w:rPr>
        <w:t>estim</w:t>
      </w:r>
      <w:r w:rsidR="00233D26" w:rsidRPr="00550971">
        <w:rPr>
          <w:color w:val="3F4D49"/>
          <w:spacing w:val="-3"/>
          <w:sz w:val="20"/>
          <w:szCs w:val="20"/>
        </w:rPr>
        <w:t>ates</w:t>
      </w:r>
      <w:r w:rsidR="00233D26" w:rsidRPr="00550971">
        <w:rPr>
          <w:color w:val="5B6664"/>
          <w:spacing w:val="-3"/>
          <w:sz w:val="20"/>
          <w:szCs w:val="20"/>
        </w:rPr>
        <w:t>.</w:t>
      </w:r>
      <w:r w:rsidR="00233D26">
        <w:rPr>
          <w:color w:val="5B6664"/>
          <w:spacing w:val="-3"/>
          <w:sz w:val="21"/>
        </w:rPr>
        <w:t xml:space="preserve"> </w:t>
      </w:r>
    </w:p>
    <w:p w:rsidR="00233D26" w:rsidRPr="00457F78" w:rsidRDefault="00233D26" w:rsidP="00233D26">
      <w:pPr>
        <w:pStyle w:val="ListParagraph"/>
        <w:widowControl w:val="0"/>
        <w:numPr>
          <w:ilvl w:val="0"/>
          <w:numId w:val="7"/>
        </w:numPr>
        <w:tabs>
          <w:tab w:val="left" w:pos="273"/>
        </w:tabs>
        <w:autoSpaceDE w:val="0"/>
        <w:autoSpaceDN w:val="0"/>
        <w:spacing w:after="0" w:line="247" w:lineRule="auto"/>
        <w:ind w:right="113"/>
        <w:contextualSpacing w:val="0"/>
        <w:jc w:val="both"/>
        <w:rPr>
          <w:color w:val="2D3B38"/>
          <w:sz w:val="20"/>
          <w:szCs w:val="20"/>
        </w:rPr>
      </w:pPr>
      <w:r w:rsidRPr="00457F78">
        <w:rPr>
          <w:color w:val="3F4D49"/>
          <w:w w:val="105"/>
          <w:sz w:val="20"/>
          <w:szCs w:val="20"/>
        </w:rPr>
        <w:t xml:space="preserve">Economic Accounts for Agriculture (ЕАА) will </w:t>
      </w:r>
      <w:r w:rsidR="002E2609" w:rsidRPr="00457F78">
        <w:rPr>
          <w:color w:val="3F4D49"/>
          <w:w w:val="105"/>
          <w:sz w:val="20"/>
          <w:szCs w:val="20"/>
        </w:rPr>
        <w:t>be</w:t>
      </w:r>
      <w:r w:rsidRPr="00457F78">
        <w:rPr>
          <w:color w:val="3F4D49"/>
          <w:w w:val="105"/>
          <w:sz w:val="20"/>
          <w:szCs w:val="20"/>
        </w:rPr>
        <w:t xml:space="preserve"> for the first time fully implemented in GDP </w:t>
      </w:r>
      <w:r w:rsidRPr="00457F78">
        <w:rPr>
          <w:color w:val="3F4D49"/>
          <w:spacing w:val="1"/>
          <w:w w:val="105"/>
          <w:sz w:val="20"/>
          <w:szCs w:val="20"/>
        </w:rPr>
        <w:t>calculation</w:t>
      </w:r>
      <w:r w:rsidRPr="00457F78">
        <w:rPr>
          <w:color w:val="5B6664"/>
          <w:spacing w:val="1"/>
          <w:w w:val="105"/>
          <w:sz w:val="20"/>
          <w:szCs w:val="20"/>
        </w:rPr>
        <w:t>s</w:t>
      </w:r>
      <w:r w:rsidRPr="00457F78">
        <w:rPr>
          <w:color w:val="3F4D49"/>
          <w:spacing w:val="1"/>
          <w:w w:val="105"/>
          <w:sz w:val="20"/>
          <w:szCs w:val="20"/>
        </w:rPr>
        <w:t xml:space="preserve"> </w:t>
      </w:r>
      <w:r w:rsidRPr="00457F78">
        <w:rPr>
          <w:color w:val="3F4D49"/>
          <w:w w:val="105"/>
          <w:sz w:val="20"/>
          <w:szCs w:val="20"/>
        </w:rPr>
        <w:t xml:space="preserve">as the main </w:t>
      </w:r>
      <w:r w:rsidR="002E2609" w:rsidRPr="00457F78">
        <w:rPr>
          <w:color w:val="3F4D49"/>
          <w:w w:val="105"/>
          <w:sz w:val="20"/>
          <w:szCs w:val="20"/>
        </w:rPr>
        <w:t xml:space="preserve">data </w:t>
      </w:r>
      <w:r w:rsidRPr="00457F78">
        <w:rPr>
          <w:color w:val="3F4D49"/>
          <w:w w:val="105"/>
          <w:sz w:val="20"/>
          <w:szCs w:val="20"/>
        </w:rPr>
        <w:t>source</w:t>
      </w:r>
      <w:r w:rsidR="002E2609" w:rsidRPr="00457F78">
        <w:rPr>
          <w:color w:val="3F4D49"/>
          <w:w w:val="105"/>
          <w:sz w:val="20"/>
          <w:szCs w:val="20"/>
        </w:rPr>
        <w:t xml:space="preserve"> for </w:t>
      </w:r>
      <w:r w:rsidRPr="00457F78">
        <w:rPr>
          <w:color w:val="3F4D49"/>
          <w:w w:val="105"/>
          <w:sz w:val="20"/>
          <w:szCs w:val="20"/>
        </w:rPr>
        <w:t xml:space="preserve">agricultural </w:t>
      </w:r>
      <w:r w:rsidRPr="00457F78">
        <w:rPr>
          <w:color w:val="3F4D49"/>
          <w:spacing w:val="1"/>
          <w:w w:val="105"/>
          <w:sz w:val="20"/>
          <w:szCs w:val="20"/>
        </w:rPr>
        <w:t>activity</w:t>
      </w:r>
      <w:r w:rsidRPr="00457F78">
        <w:rPr>
          <w:color w:val="5B6664"/>
          <w:spacing w:val="1"/>
          <w:w w:val="105"/>
          <w:sz w:val="20"/>
          <w:szCs w:val="20"/>
        </w:rPr>
        <w:t xml:space="preserve">. </w:t>
      </w:r>
      <w:r w:rsidRPr="00457F78">
        <w:rPr>
          <w:color w:val="3F4D49"/>
          <w:w w:val="105"/>
          <w:sz w:val="20"/>
          <w:szCs w:val="20"/>
        </w:rPr>
        <w:t xml:space="preserve">In addition, </w:t>
      </w:r>
      <w:r w:rsidR="003F536B" w:rsidRPr="00457F78">
        <w:rPr>
          <w:color w:val="3F4D49"/>
          <w:w w:val="105"/>
          <w:sz w:val="20"/>
          <w:szCs w:val="20"/>
        </w:rPr>
        <w:t xml:space="preserve">the </w:t>
      </w:r>
      <w:r w:rsidRPr="00457F78">
        <w:rPr>
          <w:color w:val="3F4D49"/>
          <w:w w:val="105"/>
          <w:sz w:val="20"/>
          <w:szCs w:val="20"/>
        </w:rPr>
        <w:t xml:space="preserve">ЕАА are </w:t>
      </w:r>
      <w:r w:rsidRPr="00457F78">
        <w:rPr>
          <w:color w:val="2D3B38"/>
          <w:w w:val="105"/>
          <w:sz w:val="20"/>
          <w:szCs w:val="20"/>
        </w:rPr>
        <w:t xml:space="preserve">updated </w:t>
      </w:r>
      <w:r w:rsidRPr="00457F78">
        <w:rPr>
          <w:color w:val="3F4D49"/>
          <w:w w:val="105"/>
          <w:sz w:val="20"/>
          <w:szCs w:val="20"/>
        </w:rPr>
        <w:t>with а revised series for the post-census period 2013</w:t>
      </w:r>
      <w:r w:rsidR="00550971" w:rsidRPr="00457F78">
        <w:rPr>
          <w:color w:val="3F4D49"/>
          <w:w w:val="105"/>
          <w:sz w:val="20"/>
          <w:szCs w:val="20"/>
        </w:rPr>
        <w:t xml:space="preserve"> – </w:t>
      </w:r>
      <w:r w:rsidRPr="00457F78">
        <w:rPr>
          <w:color w:val="3F4D49"/>
          <w:w w:val="105"/>
          <w:sz w:val="20"/>
          <w:szCs w:val="20"/>
        </w:rPr>
        <w:t>2017</w:t>
      </w:r>
      <w:r w:rsidR="00550971" w:rsidRPr="00457F78">
        <w:rPr>
          <w:color w:val="3F4D49"/>
          <w:w w:val="105"/>
          <w:sz w:val="20"/>
          <w:szCs w:val="20"/>
        </w:rPr>
        <w:t xml:space="preserve"> </w:t>
      </w:r>
      <w:r w:rsidR="003F536B" w:rsidRPr="00457F78">
        <w:rPr>
          <w:color w:val="3F4D49"/>
          <w:w w:val="105"/>
          <w:sz w:val="20"/>
          <w:szCs w:val="20"/>
        </w:rPr>
        <w:t>through</w:t>
      </w:r>
      <w:r w:rsidRPr="00457F78">
        <w:rPr>
          <w:color w:val="3F4D49"/>
          <w:w w:val="105"/>
          <w:sz w:val="20"/>
          <w:szCs w:val="20"/>
        </w:rPr>
        <w:t xml:space="preserve"> а newly introduced Survey </w:t>
      </w:r>
      <w:r w:rsidR="003F536B" w:rsidRPr="00457F78">
        <w:rPr>
          <w:color w:val="3F4D49"/>
          <w:w w:val="105"/>
          <w:sz w:val="20"/>
          <w:szCs w:val="20"/>
        </w:rPr>
        <w:t>on</w:t>
      </w:r>
      <w:r w:rsidRPr="00457F78">
        <w:rPr>
          <w:color w:val="3F4D49"/>
          <w:w w:val="105"/>
          <w:sz w:val="20"/>
          <w:szCs w:val="20"/>
        </w:rPr>
        <w:t xml:space="preserve"> fruit production (conducted in 2017)</w:t>
      </w:r>
      <w:r w:rsidRPr="00457F78">
        <w:rPr>
          <w:color w:val="777C7C"/>
          <w:w w:val="105"/>
          <w:sz w:val="20"/>
          <w:szCs w:val="20"/>
        </w:rPr>
        <w:t>,</w:t>
      </w:r>
      <w:r w:rsidRPr="00457F78">
        <w:rPr>
          <w:color w:val="3F4D49"/>
          <w:w w:val="105"/>
          <w:sz w:val="20"/>
          <w:szCs w:val="20"/>
        </w:rPr>
        <w:t xml:space="preserve"> </w:t>
      </w:r>
      <w:r w:rsidR="003F536B" w:rsidRPr="00457F78">
        <w:rPr>
          <w:color w:val="3F4D49"/>
          <w:w w:val="105"/>
          <w:sz w:val="20"/>
          <w:szCs w:val="20"/>
        </w:rPr>
        <w:t>and that is</w:t>
      </w:r>
      <w:r w:rsidRPr="00457F78">
        <w:rPr>
          <w:color w:val="3F4D49"/>
          <w:w w:val="105"/>
          <w:sz w:val="20"/>
          <w:szCs w:val="20"/>
        </w:rPr>
        <w:t xml:space="preserve"> </w:t>
      </w:r>
      <w:r w:rsidR="00550971" w:rsidRPr="00457F78">
        <w:rPr>
          <w:color w:val="3F4D49"/>
          <w:w w:val="105"/>
          <w:sz w:val="20"/>
          <w:szCs w:val="20"/>
        </w:rPr>
        <w:t xml:space="preserve">expected to </w:t>
      </w:r>
      <w:r w:rsidRPr="00457F78">
        <w:rPr>
          <w:color w:val="3F4D49"/>
          <w:w w:val="105"/>
          <w:sz w:val="20"/>
          <w:szCs w:val="20"/>
        </w:rPr>
        <w:t xml:space="preserve">provide more accurate measurements of fruit production and </w:t>
      </w:r>
      <w:r w:rsidR="00550971" w:rsidRPr="00457F78">
        <w:rPr>
          <w:color w:val="3F4D49"/>
          <w:w w:val="105"/>
          <w:sz w:val="20"/>
          <w:szCs w:val="20"/>
        </w:rPr>
        <w:t>to</w:t>
      </w:r>
      <w:r w:rsidRPr="00457F78">
        <w:rPr>
          <w:color w:val="3F4D49"/>
          <w:w w:val="105"/>
          <w:sz w:val="20"/>
          <w:szCs w:val="20"/>
        </w:rPr>
        <w:t xml:space="preserve"> improve </w:t>
      </w:r>
      <w:r w:rsidR="003F536B" w:rsidRPr="00457F78">
        <w:rPr>
          <w:color w:val="3F4D49"/>
          <w:w w:val="105"/>
          <w:sz w:val="20"/>
          <w:szCs w:val="20"/>
        </w:rPr>
        <w:t xml:space="preserve">the </w:t>
      </w:r>
      <w:r w:rsidRPr="00457F78">
        <w:rPr>
          <w:color w:val="3F4D49"/>
          <w:w w:val="105"/>
          <w:sz w:val="20"/>
          <w:szCs w:val="20"/>
        </w:rPr>
        <w:t>GDP estimates as well.</w:t>
      </w:r>
    </w:p>
    <w:p w:rsidR="009F536B" w:rsidRPr="00457F78" w:rsidRDefault="009F536B" w:rsidP="001E078B">
      <w:pPr>
        <w:pStyle w:val="ListParagraph"/>
        <w:numPr>
          <w:ilvl w:val="0"/>
          <w:numId w:val="7"/>
        </w:numPr>
        <w:spacing w:before="120" w:after="0" w:line="240" w:lineRule="auto"/>
        <w:jc w:val="both"/>
        <w:rPr>
          <w:rFonts w:cstheme="minorHAnsi"/>
          <w:sz w:val="20"/>
          <w:szCs w:val="20"/>
          <w:lang w:val="en-GB"/>
        </w:rPr>
      </w:pPr>
      <w:r w:rsidRPr="00457F78">
        <w:rPr>
          <w:color w:val="3F4D49"/>
          <w:w w:val="105"/>
          <w:sz w:val="20"/>
          <w:szCs w:val="20"/>
        </w:rPr>
        <w:t>Starting from 2017 SORS has introduced the regular production</w:t>
      </w:r>
      <w:r w:rsidR="00FB19D6" w:rsidRPr="00457F78">
        <w:rPr>
          <w:color w:val="3F4D49"/>
          <w:w w:val="105"/>
          <w:sz w:val="20"/>
          <w:szCs w:val="20"/>
        </w:rPr>
        <w:t xml:space="preserve"> of </w:t>
      </w:r>
      <w:r w:rsidR="009271E5">
        <w:rPr>
          <w:color w:val="3F4D49"/>
          <w:w w:val="105"/>
          <w:sz w:val="20"/>
          <w:szCs w:val="20"/>
        </w:rPr>
        <w:t>import price indices</w:t>
      </w:r>
      <w:r w:rsidR="00A11C21" w:rsidRPr="00457F78">
        <w:rPr>
          <w:color w:val="3F4D49"/>
          <w:w w:val="105"/>
          <w:sz w:val="20"/>
          <w:szCs w:val="20"/>
        </w:rPr>
        <w:t xml:space="preserve"> </w:t>
      </w:r>
      <w:r w:rsidR="00DC601D">
        <w:rPr>
          <w:color w:val="3F4D49"/>
          <w:w w:val="105"/>
          <w:sz w:val="20"/>
          <w:szCs w:val="20"/>
        </w:rPr>
        <w:t xml:space="preserve">(IPI) </w:t>
      </w:r>
      <w:r w:rsidR="00A11C21" w:rsidRPr="00457F78">
        <w:rPr>
          <w:color w:val="3F4D49"/>
          <w:w w:val="105"/>
          <w:sz w:val="20"/>
          <w:szCs w:val="20"/>
        </w:rPr>
        <w:t xml:space="preserve">and these were for the first time </w:t>
      </w:r>
      <w:r w:rsidR="00FB19D6" w:rsidRPr="00457F78">
        <w:rPr>
          <w:color w:val="3F4D49"/>
          <w:w w:val="105"/>
          <w:sz w:val="20"/>
          <w:szCs w:val="20"/>
        </w:rPr>
        <w:t xml:space="preserve">applied in the calculations, which significantly upgraded the quality of GDP estimates at constant prices. </w:t>
      </w:r>
      <w:r w:rsidR="00A11C21" w:rsidRPr="00457F78">
        <w:rPr>
          <w:color w:val="3F4D49"/>
          <w:w w:val="105"/>
          <w:sz w:val="20"/>
          <w:szCs w:val="20"/>
        </w:rPr>
        <w:t xml:space="preserve"> </w:t>
      </w:r>
      <w:r w:rsidRPr="00457F78">
        <w:rPr>
          <w:color w:val="3F4D49"/>
          <w:w w:val="105"/>
          <w:sz w:val="20"/>
          <w:szCs w:val="20"/>
        </w:rPr>
        <w:t xml:space="preserve"> </w:t>
      </w:r>
    </w:p>
    <w:p w:rsidR="009F536B" w:rsidRDefault="009F536B" w:rsidP="00AC2BCE">
      <w:pPr>
        <w:pStyle w:val="ListParagraph"/>
        <w:spacing w:before="120" w:after="0" w:line="240" w:lineRule="auto"/>
        <w:ind w:left="810"/>
        <w:jc w:val="both"/>
        <w:rPr>
          <w:rFonts w:cstheme="minorHAnsi"/>
          <w:sz w:val="20"/>
          <w:szCs w:val="20"/>
          <w:lang w:val="en-GB"/>
        </w:rPr>
      </w:pPr>
    </w:p>
    <w:p w:rsidR="00E82229" w:rsidRDefault="00AC2BCE" w:rsidP="001E078B">
      <w:pPr>
        <w:spacing w:after="0" w:line="240" w:lineRule="auto"/>
        <w:ind w:firstLine="360"/>
        <w:jc w:val="both"/>
        <w:rPr>
          <w:rFonts w:cstheme="minorHAnsi"/>
          <w:sz w:val="20"/>
          <w:szCs w:val="20"/>
          <w:lang w:val="en-GB"/>
        </w:rPr>
      </w:pPr>
      <w:r w:rsidRPr="00AC2BCE">
        <w:rPr>
          <w:rFonts w:cstheme="minorHAnsi"/>
          <w:sz w:val="20"/>
          <w:szCs w:val="20"/>
          <w:lang w:val="en-GB"/>
        </w:rPr>
        <w:t>A major novelty introduced at SORS</w:t>
      </w:r>
      <w:r w:rsidR="00D029EC">
        <w:rPr>
          <w:rFonts w:cstheme="minorHAnsi"/>
          <w:sz w:val="20"/>
          <w:szCs w:val="20"/>
          <w:lang w:val="en-GB"/>
        </w:rPr>
        <w:t xml:space="preserve"> on this occasion concerns the change</w:t>
      </w:r>
      <w:r w:rsidR="00550971">
        <w:rPr>
          <w:rFonts w:cstheme="minorHAnsi"/>
          <w:sz w:val="20"/>
          <w:szCs w:val="20"/>
          <w:lang w:val="en-GB"/>
        </w:rPr>
        <w:t>d</w:t>
      </w:r>
      <w:r w:rsidR="00D029EC">
        <w:rPr>
          <w:rFonts w:cstheme="minorHAnsi"/>
          <w:sz w:val="20"/>
          <w:szCs w:val="20"/>
          <w:lang w:val="en-GB"/>
        </w:rPr>
        <w:t xml:space="preserve"> dynamics of the GDP data release. Up to now the practice assumed that the so-called September estimate </w:t>
      </w:r>
      <w:r w:rsidR="00C23EFA">
        <w:rPr>
          <w:rFonts w:cstheme="minorHAnsi"/>
          <w:sz w:val="20"/>
          <w:szCs w:val="20"/>
          <w:lang w:val="en-GB"/>
        </w:rPr>
        <w:t xml:space="preserve">(30 September for the previous year) was also adopted as the final estimate, which so far </w:t>
      </w:r>
      <w:r w:rsidR="00550971">
        <w:rPr>
          <w:rFonts w:cstheme="minorHAnsi"/>
          <w:sz w:val="20"/>
          <w:szCs w:val="20"/>
          <w:lang w:val="en-GB"/>
        </w:rPr>
        <w:t>was not</w:t>
      </w:r>
      <w:r w:rsidR="00C23EFA">
        <w:rPr>
          <w:rFonts w:cstheme="minorHAnsi"/>
          <w:sz w:val="20"/>
          <w:szCs w:val="20"/>
          <w:lang w:val="en-GB"/>
        </w:rPr>
        <w:t xml:space="preserve"> corrected. The new program of releases envisages that in future the September estimate will be regarded as a preliminary GDP estimate </w:t>
      </w:r>
      <w:r w:rsidR="00550971">
        <w:rPr>
          <w:rFonts w:cstheme="minorHAnsi"/>
          <w:sz w:val="20"/>
          <w:szCs w:val="20"/>
          <w:lang w:val="en-GB"/>
        </w:rPr>
        <w:t>that</w:t>
      </w:r>
      <w:r w:rsidR="00C23EFA">
        <w:rPr>
          <w:rFonts w:cstheme="minorHAnsi"/>
          <w:sz w:val="20"/>
          <w:szCs w:val="20"/>
          <w:lang w:val="en-GB"/>
        </w:rPr>
        <w:t xml:space="preserve"> is subject to changes, and the final estimate would be released a year later. This program of releases is adopted as a standard practice for all </w:t>
      </w:r>
      <w:r w:rsidR="00C23EFA" w:rsidRPr="00C23EFA">
        <w:rPr>
          <w:rFonts w:cstheme="minorHAnsi"/>
          <w:sz w:val="20"/>
          <w:szCs w:val="20"/>
          <w:lang w:val="en-GB"/>
        </w:rPr>
        <w:t>EU</w:t>
      </w:r>
      <w:r w:rsidR="00C23EFA">
        <w:rPr>
          <w:rFonts w:cstheme="minorHAnsi"/>
          <w:sz w:val="20"/>
          <w:szCs w:val="20"/>
          <w:lang w:val="en-GB"/>
        </w:rPr>
        <w:t xml:space="preserve"> countries, also allowed by the Eurostat Transmission Program</w:t>
      </w:r>
      <w:r w:rsidR="00AD7747">
        <w:rPr>
          <w:rFonts w:cstheme="minorHAnsi"/>
          <w:sz w:val="20"/>
          <w:szCs w:val="20"/>
          <w:lang w:val="en-GB"/>
        </w:rPr>
        <w:t xml:space="preserve">, and this is required because of the long, complex process of annual accounts compilation, especially as regards supply and use tables, and it cannot be optimally finalized within the period of 3-4 months from the moment of providing the results of the aggregated processing of financial </w:t>
      </w:r>
      <w:r w:rsidR="0062477E">
        <w:rPr>
          <w:rFonts w:cstheme="minorHAnsi"/>
          <w:sz w:val="20"/>
          <w:szCs w:val="20"/>
          <w:lang w:val="en-GB"/>
        </w:rPr>
        <w:t>statements</w:t>
      </w:r>
      <w:r w:rsidR="00E82229">
        <w:rPr>
          <w:rFonts w:cstheme="minorHAnsi"/>
          <w:sz w:val="20"/>
          <w:szCs w:val="20"/>
          <w:lang w:val="en-GB"/>
        </w:rPr>
        <w:t xml:space="preserve"> by the SBRA (May-June current year for the previous year), when actually the production of annual accounts </w:t>
      </w:r>
      <w:r w:rsidR="00DE42A7">
        <w:rPr>
          <w:rFonts w:cstheme="minorHAnsi"/>
          <w:sz w:val="20"/>
          <w:szCs w:val="20"/>
          <w:lang w:val="en-GB"/>
        </w:rPr>
        <w:t>can</w:t>
      </w:r>
      <w:r w:rsidR="00E82229">
        <w:rPr>
          <w:rFonts w:cstheme="minorHAnsi"/>
          <w:sz w:val="20"/>
          <w:szCs w:val="20"/>
          <w:lang w:val="en-GB"/>
        </w:rPr>
        <w:t xml:space="preserve"> start.</w:t>
      </w:r>
    </w:p>
    <w:p w:rsidR="001E078B" w:rsidRDefault="001E078B" w:rsidP="00AC2BCE">
      <w:pPr>
        <w:spacing w:before="120" w:after="0" w:line="240" w:lineRule="auto"/>
        <w:jc w:val="both"/>
        <w:rPr>
          <w:rFonts w:cstheme="minorHAnsi"/>
          <w:sz w:val="20"/>
          <w:szCs w:val="20"/>
          <w:lang w:val="en-GB"/>
        </w:rPr>
      </w:pPr>
    </w:p>
    <w:p w:rsidR="00AC2BCE" w:rsidRPr="00AC2BCE" w:rsidRDefault="00E82229" w:rsidP="001E078B">
      <w:pPr>
        <w:spacing w:after="0" w:line="240" w:lineRule="auto"/>
        <w:ind w:firstLine="360"/>
        <w:jc w:val="both"/>
        <w:rPr>
          <w:rFonts w:cstheme="minorHAnsi"/>
          <w:sz w:val="20"/>
          <w:szCs w:val="20"/>
          <w:lang w:val="en-GB"/>
        </w:rPr>
      </w:pPr>
      <w:r>
        <w:rPr>
          <w:rFonts w:cstheme="minorHAnsi"/>
          <w:sz w:val="20"/>
          <w:szCs w:val="20"/>
          <w:lang w:val="en-GB"/>
        </w:rPr>
        <w:t xml:space="preserve">All mentioned improvements of sources and methods, as well as the new program of releases of GDP data are expected to ensure more reliable, accurate and comprehensive GDP calculations, </w:t>
      </w:r>
      <w:r w:rsidR="00DE42A7">
        <w:rPr>
          <w:rFonts w:cstheme="minorHAnsi"/>
          <w:sz w:val="20"/>
          <w:szCs w:val="20"/>
          <w:lang w:val="en-GB"/>
        </w:rPr>
        <w:t>as well as</w:t>
      </w:r>
      <w:r>
        <w:rPr>
          <w:rFonts w:cstheme="minorHAnsi"/>
          <w:sz w:val="20"/>
          <w:szCs w:val="20"/>
          <w:lang w:val="en-GB"/>
        </w:rPr>
        <w:t xml:space="preserve"> the upgraded consistency of annual accounts with quarterly national accounts, and other parts of the statistical system.    </w:t>
      </w:r>
      <w:r w:rsidR="00AD7747">
        <w:rPr>
          <w:rFonts w:cstheme="minorHAnsi"/>
          <w:sz w:val="20"/>
          <w:szCs w:val="20"/>
          <w:lang w:val="en-GB"/>
        </w:rPr>
        <w:t xml:space="preserve">   </w:t>
      </w:r>
      <w:r w:rsidR="00C23EFA">
        <w:rPr>
          <w:rFonts w:cstheme="minorHAnsi"/>
          <w:sz w:val="20"/>
          <w:szCs w:val="20"/>
          <w:lang w:val="en-GB"/>
        </w:rPr>
        <w:t xml:space="preserve">    </w:t>
      </w:r>
    </w:p>
    <w:sectPr w:rsidR="00AC2BCE" w:rsidRPr="00AC2B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509" w:rsidRDefault="009B0509" w:rsidP="00EC75CF">
      <w:pPr>
        <w:spacing w:after="0" w:line="240" w:lineRule="auto"/>
      </w:pPr>
      <w:r>
        <w:separator/>
      </w:r>
    </w:p>
  </w:endnote>
  <w:endnote w:type="continuationSeparator" w:id="0">
    <w:p w:rsidR="009B0509" w:rsidRDefault="009B0509" w:rsidP="00EC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509" w:rsidRDefault="009B0509" w:rsidP="00EC75CF">
      <w:pPr>
        <w:spacing w:after="0" w:line="240" w:lineRule="auto"/>
      </w:pPr>
      <w:r>
        <w:separator/>
      </w:r>
    </w:p>
  </w:footnote>
  <w:footnote w:type="continuationSeparator" w:id="0">
    <w:p w:rsidR="009B0509" w:rsidRDefault="009B0509" w:rsidP="00EC7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5CF" w:rsidRDefault="00EC75CF">
    <w:pPr>
      <w:pStyle w:val="Header"/>
    </w:pPr>
    <w:r>
      <w:rPr>
        <w:noProof/>
      </w:rPr>
      <w:drawing>
        <wp:inline distT="0" distB="0" distL="0" distR="0">
          <wp:extent cx="1721203"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ZS.png"/>
                  <pic:cNvPicPr/>
                </pic:nvPicPr>
                <pic:blipFill>
                  <a:blip r:embed="rId1">
                    <a:extLst>
                      <a:ext uri="{28A0092B-C50C-407E-A947-70E740481C1C}">
                        <a14:useLocalDpi xmlns:a14="http://schemas.microsoft.com/office/drawing/2010/main" val="0"/>
                      </a:ext>
                    </a:extLst>
                  </a:blip>
                  <a:stretch>
                    <a:fillRect/>
                  </a:stretch>
                </pic:blipFill>
                <pic:spPr>
                  <a:xfrm>
                    <a:off x="0" y="0"/>
                    <a:ext cx="1731443" cy="785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6EE"/>
    <w:multiLevelType w:val="hybridMultilevel"/>
    <w:tmpl w:val="EC64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B6923"/>
    <w:multiLevelType w:val="hybridMultilevel"/>
    <w:tmpl w:val="4B80C6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21E1D"/>
    <w:multiLevelType w:val="hybridMultilevel"/>
    <w:tmpl w:val="D2163F7E"/>
    <w:lvl w:ilvl="0" w:tplc="08F61E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9548B"/>
    <w:multiLevelType w:val="hybridMultilevel"/>
    <w:tmpl w:val="51EE8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B82976"/>
    <w:multiLevelType w:val="hybridMultilevel"/>
    <w:tmpl w:val="8BBC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F6ECB"/>
    <w:multiLevelType w:val="hybridMultilevel"/>
    <w:tmpl w:val="49C6B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D21C3A"/>
    <w:multiLevelType w:val="hybridMultilevel"/>
    <w:tmpl w:val="82E8A410"/>
    <w:lvl w:ilvl="0" w:tplc="91F051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8F1090"/>
    <w:multiLevelType w:val="hybridMultilevel"/>
    <w:tmpl w:val="21E4794A"/>
    <w:lvl w:ilvl="0" w:tplc="6B9831F2">
      <w:numFmt w:val="bullet"/>
      <w:lvlText w:val="•"/>
      <w:lvlJc w:val="left"/>
      <w:pPr>
        <w:ind w:left="124" w:hanging="177"/>
      </w:pPr>
      <w:rPr>
        <w:rFonts w:hint="default"/>
        <w:w w:val="98"/>
      </w:rPr>
    </w:lvl>
    <w:lvl w:ilvl="1" w:tplc="96748C8C">
      <w:numFmt w:val="bullet"/>
      <w:lvlText w:val="•"/>
      <w:lvlJc w:val="left"/>
      <w:pPr>
        <w:ind w:left="1100" w:hanging="177"/>
      </w:pPr>
      <w:rPr>
        <w:rFonts w:hint="default"/>
      </w:rPr>
    </w:lvl>
    <w:lvl w:ilvl="2" w:tplc="48E280B0">
      <w:numFmt w:val="bullet"/>
      <w:lvlText w:val="•"/>
      <w:lvlJc w:val="left"/>
      <w:pPr>
        <w:ind w:left="2080" w:hanging="177"/>
      </w:pPr>
      <w:rPr>
        <w:rFonts w:hint="default"/>
      </w:rPr>
    </w:lvl>
    <w:lvl w:ilvl="3" w:tplc="7130A384">
      <w:numFmt w:val="bullet"/>
      <w:lvlText w:val="•"/>
      <w:lvlJc w:val="left"/>
      <w:pPr>
        <w:ind w:left="3060" w:hanging="177"/>
      </w:pPr>
      <w:rPr>
        <w:rFonts w:hint="default"/>
      </w:rPr>
    </w:lvl>
    <w:lvl w:ilvl="4" w:tplc="B13A96B8">
      <w:numFmt w:val="bullet"/>
      <w:lvlText w:val="•"/>
      <w:lvlJc w:val="left"/>
      <w:pPr>
        <w:ind w:left="4040" w:hanging="177"/>
      </w:pPr>
      <w:rPr>
        <w:rFonts w:hint="default"/>
      </w:rPr>
    </w:lvl>
    <w:lvl w:ilvl="5" w:tplc="B45E0272">
      <w:numFmt w:val="bullet"/>
      <w:lvlText w:val="•"/>
      <w:lvlJc w:val="left"/>
      <w:pPr>
        <w:ind w:left="5020" w:hanging="177"/>
      </w:pPr>
      <w:rPr>
        <w:rFonts w:hint="default"/>
      </w:rPr>
    </w:lvl>
    <w:lvl w:ilvl="6" w:tplc="16A8803E">
      <w:numFmt w:val="bullet"/>
      <w:lvlText w:val="•"/>
      <w:lvlJc w:val="left"/>
      <w:pPr>
        <w:ind w:left="6000" w:hanging="177"/>
      </w:pPr>
      <w:rPr>
        <w:rFonts w:hint="default"/>
      </w:rPr>
    </w:lvl>
    <w:lvl w:ilvl="7" w:tplc="2D1037A2">
      <w:numFmt w:val="bullet"/>
      <w:lvlText w:val="•"/>
      <w:lvlJc w:val="left"/>
      <w:pPr>
        <w:ind w:left="6980" w:hanging="177"/>
      </w:pPr>
      <w:rPr>
        <w:rFonts w:hint="default"/>
      </w:rPr>
    </w:lvl>
    <w:lvl w:ilvl="8" w:tplc="D506C1E0">
      <w:numFmt w:val="bullet"/>
      <w:lvlText w:val="•"/>
      <w:lvlJc w:val="left"/>
      <w:pPr>
        <w:ind w:left="7960" w:hanging="177"/>
      </w:pPr>
      <w:rPr>
        <w:rFonts w:hint="default"/>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E0"/>
    <w:rsid w:val="000151C9"/>
    <w:rsid w:val="0003141E"/>
    <w:rsid w:val="00067E6D"/>
    <w:rsid w:val="000763CA"/>
    <w:rsid w:val="00084A99"/>
    <w:rsid w:val="000E7128"/>
    <w:rsid w:val="00130699"/>
    <w:rsid w:val="00132B94"/>
    <w:rsid w:val="001354C2"/>
    <w:rsid w:val="00137E8B"/>
    <w:rsid w:val="0014748F"/>
    <w:rsid w:val="00154710"/>
    <w:rsid w:val="001618EF"/>
    <w:rsid w:val="00170FDB"/>
    <w:rsid w:val="00181128"/>
    <w:rsid w:val="00195F87"/>
    <w:rsid w:val="001D2F6E"/>
    <w:rsid w:val="001E078B"/>
    <w:rsid w:val="00232416"/>
    <w:rsid w:val="00233D26"/>
    <w:rsid w:val="00252142"/>
    <w:rsid w:val="00275E45"/>
    <w:rsid w:val="002979FF"/>
    <w:rsid w:val="002A1FB8"/>
    <w:rsid w:val="002A4D77"/>
    <w:rsid w:val="002C0B0A"/>
    <w:rsid w:val="002E2609"/>
    <w:rsid w:val="002E71F9"/>
    <w:rsid w:val="003000A8"/>
    <w:rsid w:val="00303FF9"/>
    <w:rsid w:val="00306AA8"/>
    <w:rsid w:val="003116F8"/>
    <w:rsid w:val="0031170D"/>
    <w:rsid w:val="00335AD5"/>
    <w:rsid w:val="003371D8"/>
    <w:rsid w:val="00376E05"/>
    <w:rsid w:val="0038400C"/>
    <w:rsid w:val="00390F40"/>
    <w:rsid w:val="00394382"/>
    <w:rsid w:val="003F536B"/>
    <w:rsid w:val="00425F7F"/>
    <w:rsid w:val="00426FE0"/>
    <w:rsid w:val="00444D22"/>
    <w:rsid w:val="004524A2"/>
    <w:rsid w:val="00457F78"/>
    <w:rsid w:val="00550971"/>
    <w:rsid w:val="00555F2B"/>
    <w:rsid w:val="00565953"/>
    <w:rsid w:val="00577CEA"/>
    <w:rsid w:val="005A7FDF"/>
    <w:rsid w:val="005D101B"/>
    <w:rsid w:val="005D3FC2"/>
    <w:rsid w:val="005F4C9E"/>
    <w:rsid w:val="005F5263"/>
    <w:rsid w:val="006113E9"/>
    <w:rsid w:val="00615E1E"/>
    <w:rsid w:val="00623AE9"/>
    <w:rsid w:val="0062477E"/>
    <w:rsid w:val="0062605C"/>
    <w:rsid w:val="00640575"/>
    <w:rsid w:val="0064252D"/>
    <w:rsid w:val="00691EEC"/>
    <w:rsid w:val="006D3AB0"/>
    <w:rsid w:val="006F4C05"/>
    <w:rsid w:val="00764419"/>
    <w:rsid w:val="007656FB"/>
    <w:rsid w:val="007B600F"/>
    <w:rsid w:val="00815ED7"/>
    <w:rsid w:val="00822931"/>
    <w:rsid w:val="00862A06"/>
    <w:rsid w:val="008B005E"/>
    <w:rsid w:val="008E27F7"/>
    <w:rsid w:val="008E47DF"/>
    <w:rsid w:val="009271E5"/>
    <w:rsid w:val="00947CC9"/>
    <w:rsid w:val="00983EA5"/>
    <w:rsid w:val="009A3FC7"/>
    <w:rsid w:val="009B0509"/>
    <w:rsid w:val="009D733F"/>
    <w:rsid w:val="009F015F"/>
    <w:rsid w:val="009F536B"/>
    <w:rsid w:val="00A042C0"/>
    <w:rsid w:val="00A04BA3"/>
    <w:rsid w:val="00A11C21"/>
    <w:rsid w:val="00A22263"/>
    <w:rsid w:val="00A90F4F"/>
    <w:rsid w:val="00AB2FEA"/>
    <w:rsid w:val="00AC2BCE"/>
    <w:rsid w:val="00AD7747"/>
    <w:rsid w:val="00AE3442"/>
    <w:rsid w:val="00AF7F6C"/>
    <w:rsid w:val="00B129DD"/>
    <w:rsid w:val="00BA7F77"/>
    <w:rsid w:val="00BC0554"/>
    <w:rsid w:val="00BE6175"/>
    <w:rsid w:val="00C07AD6"/>
    <w:rsid w:val="00C23EFA"/>
    <w:rsid w:val="00C837CF"/>
    <w:rsid w:val="00D029EC"/>
    <w:rsid w:val="00D61D6A"/>
    <w:rsid w:val="00DB5F44"/>
    <w:rsid w:val="00DC03A8"/>
    <w:rsid w:val="00DC601D"/>
    <w:rsid w:val="00DE42A7"/>
    <w:rsid w:val="00E0125B"/>
    <w:rsid w:val="00E11BC8"/>
    <w:rsid w:val="00E305AD"/>
    <w:rsid w:val="00E543F3"/>
    <w:rsid w:val="00E82229"/>
    <w:rsid w:val="00E838B4"/>
    <w:rsid w:val="00E85883"/>
    <w:rsid w:val="00E87C39"/>
    <w:rsid w:val="00EA4934"/>
    <w:rsid w:val="00EB16BA"/>
    <w:rsid w:val="00EC75CF"/>
    <w:rsid w:val="00EF517F"/>
    <w:rsid w:val="00F95FEF"/>
    <w:rsid w:val="00FB19D6"/>
    <w:rsid w:val="00FB1AE6"/>
    <w:rsid w:val="00FE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B289B0-0C05-4368-991D-D98FA662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837CF"/>
    <w:pPr>
      <w:ind w:left="720"/>
      <w:contextualSpacing/>
    </w:pPr>
  </w:style>
  <w:style w:type="paragraph" w:styleId="BalloonText">
    <w:name w:val="Balloon Text"/>
    <w:basedOn w:val="Normal"/>
    <w:link w:val="BalloonTextChar"/>
    <w:uiPriority w:val="99"/>
    <w:semiHidden/>
    <w:unhideWhenUsed/>
    <w:rsid w:val="00232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416"/>
    <w:rPr>
      <w:rFonts w:ascii="Segoe UI" w:hAnsi="Segoe UI" w:cs="Segoe UI"/>
      <w:sz w:val="18"/>
      <w:szCs w:val="18"/>
    </w:rPr>
  </w:style>
  <w:style w:type="paragraph" w:styleId="BodyText">
    <w:name w:val="Body Text"/>
    <w:basedOn w:val="Normal"/>
    <w:link w:val="BodyTextChar"/>
    <w:uiPriority w:val="1"/>
    <w:qFormat/>
    <w:rsid w:val="00233D26"/>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233D26"/>
    <w:rPr>
      <w:rFonts w:ascii="Times New Roman" w:eastAsia="Times New Roman" w:hAnsi="Times New Roman" w:cs="Times New Roman"/>
      <w:sz w:val="21"/>
      <w:szCs w:val="21"/>
    </w:rPr>
  </w:style>
  <w:style w:type="character" w:styleId="CommentReference">
    <w:name w:val="annotation reference"/>
    <w:basedOn w:val="DefaultParagraphFont"/>
    <w:uiPriority w:val="99"/>
    <w:semiHidden/>
    <w:unhideWhenUsed/>
    <w:rsid w:val="00C23EFA"/>
    <w:rPr>
      <w:sz w:val="16"/>
      <w:szCs w:val="16"/>
    </w:rPr>
  </w:style>
  <w:style w:type="paragraph" w:styleId="CommentText">
    <w:name w:val="annotation text"/>
    <w:basedOn w:val="Normal"/>
    <w:link w:val="CommentTextChar"/>
    <w:uiPriority w:val="99"/>
    <w:semiHidden/>
    <w:unhideWhenUsed/>
    <w:rsid w:val="00C23EFA"/>
    <w:pPr>
      <w:spacing w:line="240" w:lineRule="auto"/>
    </w:pPr>
    <w:rPr>
      <w:sz w:val="20"/>
      <w:szCs w:val="20"/>
    </w:rPr>
  </w:style>
  <w:style w:type="character" w:customStyle="1" w:styleId="CommentTextChar">
    <w:name w:val="Comment Text Char"/>
    <w:basedOn w:val="DefaultParagraphFont"/>
    <w:link w:val="CommentText"/>
    <w:uiPriority w:val="99"/>
    <w:semiHidden/>
    <w:rsid w:val="00C23EFA"/>
    <w:rPr>
      <w:sz w:val="20"/>
      <w:szCs w:val="20"/>
    </w:rPr>
  </w:style>
  <w:style w:type="paragraph" w:styleId="CommentSubject">
    <w:name w:val="annotation subject"/>
    <w:basedOn w:val="CommentText"/>
    <w:next w:val="CommentText"/>
    <w:link w:val="CommentSubjectChar"/>
    <w:uiPriority w:val="99"/>
    <w:semiHidden/>
    <w:unhideWhenUsed/>
    <w:rsid w:val="00C23EFA"/>
    <w:rPr>
      <w:b/>
      <w:bCs/>
    </w:rPr>
  </w:style>
  <w:style w:type="character" w:customStyle="1" w:styleId="CommentSubjectChar">
    <w:name w:val="Comment Subject Char"/>
    <w:basedOn w:val="CommentTextChar"/>
    <w:link w:val="CommentSubject"/>
    <w:uiPriority w:val="99"/>
    <w:semiHidden/>
    <w:rsid w:val="00C23EFA"/>
    <w:rPr>
      <w:b/>
      <w:bCs/>
      <w:sz w:val="20"/>
      <w:szCs w:val="20"/>
    </w:rPr>
  </w:style>
  <w:style w:type="character" w:customStyle="1" w:styleId="publicationtitle">
    <w:name w:val="publication__title"/>
    <w:basedOn w:val="DefaultParagraphFont"/>
    <w:rsid w:val="00457F78"/>
  </w:style>
  <w:style w:type="paragraph" w:styleId="Header">
    <w:name w:val="header"/>
    <w:basedOn w:val="Normal"/>
    <w:link w:val="HeaderChar"/>
    <w:uiPriority w:val="99"/>
    <w:unhideWhenUsed/>
    <w:rsid w:val="00EC7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5CF"/>
  </w:style>
  <w:style w:type="paragraph" w:styleId="Footer">
    <w:name w:val="footer"/>
    <w:basedOn w:val="Normal"/>
    <w:link w:val="FooterChar"/>
    <w:uiPriority w:val="99"/>
    <w:unhideWhenUsed/>
    <w:rsid w:val="00EC7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dc:creator>
  <cp:lastModifiedBy>Aleksandra Danilovic</cp:lastModifiedBy>
  <cp:revision>25</cp:revision>
  <cp:lastPrinted>2018-09-26T07:49:00Z</cp:lastPrinted>
  <dcterms:created xsi:type="dcterms:W3CDTF">2018-09-26T08:02:00Z</dcterms:created>
  <dcterms:modified xsi:type="dcterms:W3CDTF">2018-09-27T07:52:00Z</dcterms:modified>
</cp:coreProperties>
</file>