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E0B11" w:rsidRPr="008773F4" w:rsidTr="00982418">
        <w:tc>
          <w:tcPr>
            <w:tcW w:w="10065" w:type="dxa"/>
            <w:shd w:val="clear" w:color="auto" w:fill="auto"/>
          </w:tcPr>
          <w:p w:rsidR="007E0B11" w:rsidRPr="008773F4" w:rsidRDefault="001F018D" w:rsidP="008773F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02.10.2023.</w:t>
            </w:r>
          </w:p>
          <w:p w:rsidR="007E0B11" w:rsidRPr="008773F4" w:rsidRDefault="007E0B11" w:rsidP="008773F4">
            <w:pPr>
              <w:jc w:val="right"/>
              <w:rPr>
                <w:rFonts w:ascii="Tahoma" w:hAnsi="Tahoma" w:cs="Tahoma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49"/>
            </w:tblGrid>
            <w:tr w:rsidR="007E0B11" w:rsidRPr="008773F4" w:rsidTr="008773F4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1F018D" w:rsidRDefault="00A54745" w:rsidP="008773F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Major revision of National A</w:t>
                  </w:r>
                  <w:r w:rsidR="001F018D" w:rsidRPr="001F018D">
                    <w:rPr>
                      <w:rFonts w:ascii="Tahoma" w:hAnsi="Tahoma" w:cs="Tahoma"/>
                      <w:b/>
                    </w:rPr>
                    <w:t>ccounts in 2024</w:t>
                  </w:r>
                  <w:r w:rsidR="00542814" w:rsidRPr="001F018D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7E0B11" w:rsidRPr="008773F4" w:rsidRDefault="007E0B11" w:rsidP="008773F4">
                  <w:pPr>
                    <w:jc w:val="center"/>
                    <w:rPr>
                      <w:rFonts w:ascii="Tahoma" w:hAnsi="Tahoma" w:cs="Tahoma"/>
                      <w:lang w:val="sr-Cyrl-CS"/>
                    </w:rPr>
                  </w:pPr>
                </w:p>
              </w:tc>
            </w:tr>
          </w:tbl>
          <w:p w:rsidR="007E0B11" w:rsidRPr="008773F4" w:rsidRDefault="007E0B11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1F018D" w:rsidRPr="001F018D" w:rsidRDefault="001F018D" w:rsidP="001F018D">
            <w:pPr>
              <w:jc w:val="both"/>
              <w:rPr>
                <w:rFonts w:ascii="Tahoma" w:hAnsi="Tahoma" w:cs="Tahoma"/>
              </w:rPr>
            </w:pPr>
            <w:r w:rsidRPr="001F018D">
              <w:rPr>
                <w:rFonts w:ascii="Tahoma" w:hAnsi="Tahoma" w:cs="Tahoma"/>
              </w:rPr>
              <w:t>The Statistical Office of the Republic of Serbia</w:t>
            </w:r>
            <w:r>
              <w:rPr>
                <w:rFonts w:ascii="Tahoma" w:hAnsi="Tahoma" w:cs="Tahoma"/>
              </w:rPr>
              <w:t xml:space="preserve"> (SORS)</w:t>
            </w:r>
            <w:r w:rsidRPr="001F018D">
              <w:rPr>
                <w:rFonts w:ascii="Tahoma" w:hAnsi="Tahoma" w:cs="Tahoma"/>
              </w:rPr>
              <w:t xml:space="preserve"> announces the major (benchmark) revision of </w:t>
            </w:r>
            <w:r w:rsidR="004B7221">
              <w:rPr>
                <w:rFonts w:ascii="Tahoma" w:hAnsi="Tahoma" w:cs="Tahoma"/>
              </w:rPr>
              <w:t>the 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4B7221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 xml:space="preserve">ccounts, which will </w:t>
            </w:r>
            <w:r w:rsidR="004B7221">
              <w:rPr>
                <w:rFonts w:ascii="Tahoma" w:hAnsi="Tahoma" w:cs="Tahoma"/>
              </w:rPr>
              <w:t>take place</w:t>
            </w:r>
            <w:r w:rsidRPr="001F018D">
              <w:rPr>
                <w:rFonts w:ascii="Tahoma" w:hAnsi="Tahoma" w:cs="Tahoma"/>
              </w:rPr>
              <w:t xml:space="preserve"> in 2024. The major </w:t>
            </w:r>
            <w:r>
              <w:rPr>
                <w:rFonts w:ascii="Tahoma" w:hAnsi="Tahoma" w:cs="Tahoma"/>
              </w:rPr>
              <w:t>revision</w:t>
            </w:r>
            <w:r w:rsidRPr="001F018D">
              <w:rPr>
                <w:rFonts w:ascii="Tahoma" w:hAnsi="Tahoma" w:cs="Tahoma"/>
              </w:rPr>
              <w:t xml:space="preserve"> </w:t>
            </w:r>
            <w:r w:rsidR="004B7221">
              <w:rPr>
                <w:rFonts w:ascii="Tahoma" w:hAnsi="Tahoma" w:cs="Tahoma"/>
              </w:rPr>
              <w:t>is</w:t>
            </w:r>
            <w:r w:rsidRPr="001F018D">
              <w:rPr>
                <w:rFonts w:ascii="Tahoma" w:hAnsi="Tahoma" w:cs="Tahoma"/>
              </w:rPr>
              <w:t xml:space="preserve"> regular </w:t>
            </w:r>
            <w:r>
              <w:rPr>
                <w:rFonts w:ascii="Tahoma" w:hAnsi="Tahoma" w:cs="Tahoma"/>
              </w:rPr>
              <w:t>revision</w:t>
            </w:r>
            <w:r w:rsidRPr="001F018D">
              <w:rPr>
                <w:rFonts w:ascii="Tahoma" w:hAnsi="Tahoma" w:cs="Tahoma"/>
              </w:rPr>
              <w:t xml:space="preserve"> of the system of </w:t>
            </w:r>
            <w:r w:rsidR="004B7221">
              <w:rPr>
                <w:rFonts w:ascii="Tahoma" w:hAnsi="Tahoma" w:cs="Tahoma"/>
              </w:rPr>
              <w:t>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4B7221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>ccounts</w:t>
            </w:r>
            <w:r w:rsidR="004B7221">
              <w:rPr>
                <w:rFonts w:ascii="Tahoma" w:hAnsi="Tahoma" w:cs="Tahoma"/>
              </w:rPr>
              <w:t>,</w:t>
            </w:r>
            <w:r w:rsidR="004B7221" w:rsidRPr="001F018D">
              <w:rPr>
                <w:rFonts w:ascii="Tahoma" w:hAnsi="Tahoma" w:cs="Tahoma"/>
              </w:rPr>
              <w:t xml:space="preserve"> coordinated with </w:t>
            </w:r>
            <w:r w:rsidR="004B7221">
              <w:rPr>
                <w:rFonts w:ascii="Tahoma" w:hAnsi="Tahoma" w:cs="Tahoma"/>
              </w:rPr>
              <w:t xml:space="preserve">the </w:t>
            </w:r>
            <w:r w:rsidR="004B7221" w:rsidRPr="001F018D">
              <w:rPr>
                <w:rFonts w:ascii="Tahoma" w:hAnsi="Tahoma" w:cs="Tahoma"/>
              </w:rPr>
              <w:t>Eurostat</w:t>
            </w:r>
            <w:r w:rsidR="004B7221">
              <w:rPr>
                <w:rFonts w:ascii="Tahoma" w:hAnsi="Tahoma" w:cs="Tahoma"/>
              </w:rPr>
              <w:t xml:space="preserve"> and conducted in</w:t>
            </w:r>
            <w:r>
              <w:rPr>
                <w:rFonts w:ascii="Tahoma" w:hAnsi="Tahoma" w:cs="Tahoma"/>
              </w:rPr>
              <w:t xml:space="preserve"> a harmonized manner</w:t>
            </w:r>
            <w:r w:rsidRPr="001F018D">
              <w:rPr>
                <w:rFonts w:ascii="Tahoma" w:hAnsi="Tahoma" w:cs="Tahoma"/>
              </w:rPr>
              <w:t xml:space="preserve"> by all members of the European Union every five years. The previous major </w:t>
            </w:r>
            <w:r>
              <w:rPr>
                <w:rFonts w:ascii="Tahoma" w:hAnsi="Tahoma" w:cs="Tahoma"/>
              </w:rPr>
              <w:t>revision</w:t>
            </w:r>
            <w:r w:rsidRPr="001F018D">
              <w:rPr>
                <w:rFonts w:ascii="Tahoma" w:hAnsi="Tahoma" w:cs="Tahoma"/>
              </w:rPr>
              <w:t xml:space="preserve"> of the </w:t>
            </w:r>
            <w:r w:rsidR="004B7221">
              <w:rPr>
                <w:rFonts w:ascii="Tahoma" w:hAnsi="Tahoma" w:cs="Tahoma"/>
              </w:rPr>
              <w:t>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4B7221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 xml:space="preserve">ccounts of the Republic of Serbia </w:t>
            </w:r>
            <w:r w:rsidR="00611B86">
              <w:rPr>
                <w:rFonts w:ascii="Tahoma" w:hAnsi="Tahoma" w:cs="Tahoma"/>
              </w:rPr>
              <w:t xml:space="preserve">was </w:t>
            </w:r>
            <w:r w:rsidR="002974AD">
              <w:rPr>
                <w:rFonts w:ascii="Tahoma" w:hAnsi="Tahoma" w:cs="Tahoma"/>
              </w:rPr>
              <w:t>performed</w:t>
            </w:r>
            <w:r w:rsidRPr="001F018D">
              <w:rPr>
                <w:rFonts w:ascii="Tahoma" w:hAnsi="Tahoma" w:cs="Tahoma"/>
              </w:rPr>
              <w:t xml:space="preserve"> in 2019, and the </w:t>
            </w:r>
            <w:r w:rsidR="002974AD">
              <w:rPr>
                <w:rFonts w:ascii="Tahoma" w:hAnsi="Tahoma" w:cs="Tahoma"/>
              </w:rPr>
              <w:t xml:space="preserve">2024 </w:t>
            </w:r>
            <w:r>
              <w:rPr>
                <w:rFonts w:ascii="Tahoma" w:hAnsi="Tahoma" w:cs="Tahoma"/>
              </w:rPr>
              <w:t>revision</w:t>
            </w:r>
            <w:r w:rsidRPr="001F018D">
              <w:rPr>
                <w:rFonts w:ascii="Tahoma" w:hAnsi="Tahoma" w:cs="Tahoma"/>
              </w:rPr>
              <w:t xml:space="preserve"> will be the fourth major </w:t>
            </w:r>
            <w:r>
              <w:rPr>
                <w:rFonts w:ascii="Tahoma" w:hAnsi="Tahoma" w:cs="Tahoma"/>
              </w:rPr>
              <w:t>revision</w:t>
            </w:r>
            <w:r w:rsidRPr="001F018D">
              <w:rPr>
                <w:rFonts w:ascii="Tahoma" w:hAnsi="Tahoma" w:cs="Tahoma"/>
              </w:rPr>
              <w:t xml:space="preserve"> of t</w:t>
            </w:r>
            <w:r w:rsidR="00611B86">
              <w:rPr>
                <w:rFonts w:ascii="Tahoma" w:hAnsi="Tahoma" w:cs="Tahoma"/>
              </w:rPr>
              <w:t xml:space="preserve">he </w:t>
            </w:r>
            <w:r w:rsidR="004B7221">
              <w:rPr>
                <w:rFonts w:ascii="Tahoma" w:hAnsi="Tahoma" w:cs="Tahoma"/>
              </w:rPr>
              <w:t>N</w:t>
            </w:r>
            <w:r w:rsidR="00611B86">
              <w:rPr>
                <w:rFonts w:ascii="Tahoma" w:hAnsi="Tahoma" w:cs="Tahoma"/>
              </w:rPr>
              <w:t xml:space="preserve">ational </w:t>
            </w:r>
            <w:r w:rsidR="004B7221">
              <w:rPr>
                <w:rFonts w:ascii="Tahoma" w:hAnsi="Tahoma" w:cs="Tahoma"/>
              </w:rPr>
              <w:t>A</w:t>
            </w:r>
            <w:r w:rsidR="00611B86">
              <w:rPr>
                <w:rFonts w:ascii="Tahoma" w:hAnsi="Tahoma" w:cs="Tahoma"/>
              </w:rPr>
              <w:t>ccounts since 2012</w:t>
            </w:r>
            <w:r w:rsidR="008E2826">
              <w:rPr>
                <w:rFonts w:ascii="Tahoma" w:hAnsi="Tahoma" w:cs="Tahoma"/>
              </w:rPr>
              <w:t xml:space="preserve"> when </w:t>
            </w:r>
            <w:r>
              <w:rPr>
                <w:rFonts w:ascii="Tahoma" w:hAnsi="Tahoma" w:cs="Tahoma"/>
              </w:rPr>
              <w:t>SORS</w:t>
            </w:r>
            <w:r w:rsidR="00611B86">
              <w:rPr>
                <w:rFonts w:ascii="Tahoma" w:hAnsi="Tahoma" w:cs="Tahoma"/>
              </w:rPr>
              <w:t xml:space="preserve"> </w:t>
            </w:r>
            <w:r w:rsidR="004B7221">
              <w:rPr>
                <w:rFonts w:ascii="Tahoma" w:hAnsi="Tahoma" w:cs="Tahoma"/>
              </w:rPr>
              <w:t xml:space="preserve">for the </w:t>
            </w:r>
            <w:r w:rsidR="00611B86">
              <w:rPr>
                <w:rFonts w:ascii="Tahoma" w:hAnsi="Tahoma" w:cs="Tahoma"/>
              </w:rPr>
              <w:t>first</w:t>
            </w:r>
            <w:r w:rsidRPr="001F018D">
              <w:rPr>
                <w:rFonts w:ascii="Tahoma" w:hAnsi="Tahoma" w:cs="Tahoma"/>
              </w:rPr>
              <w:t xml:space="preserve"> </w:t>
            </w:r>
            <w:r w:rsidR="004B7221">
              <w:rPr>
                <w:rFonts w:ascii="Tahoma" w:hAnsi="Tahoma" w:cs="Tahoma"/>
              </w:rPr>
              <w:t xml:space="preserve">time had </w:t>
            </w:r>
            <w:r w:rsidR="00611B86">
              <w:rPr>
                <w:rFonts w:ascii="Tahoma" w:hAnsi="Tahoma" w:cs="Tahoma"/>
              </w:rPr>
              <w:t>participated</w:t>
            </w:r>
            <w:r w:rsidRPr="001F018D">
              <w:rPr>
                <w:rFonts w:ascii="Tahoma" w:hAnsi="Tahoma" w:cs="Tahoma"/>
              </w:rPr>
              <w:t xml:space="preserve"> in </w:t>
            </w:r>
            <w:r w:rsidR="004B7221">
              <w:rPr>
                <w:rFonts w:ascii="Tahoma" w:hAnsi="Tahoma" w:cs="Tahoma"/>
              </w:rPr>
              <w:t xml:space="preserve">the </w:t>
            </w:r>
            <w:r w:rsidRPr="001F018D">
              <w:rPr>
                <w:rFonts w:ascii="Tahoma" w:hAnsi="Tahoma" w:cs="Tahoma"/>
              </w:rPr>
              <w:t xml:space="preserve">EU benchmark </w:t>
            </w:r>
            <w:r>
              <w:rPr>
                <w:rFonts w:ascii="Tahoma" w:hAnsi="Tahoma" w:cs="Tahoma"/>
              </w:rPr>
              <w:t>r</w:t>
            </w:r>
            <w:r w:rsidR="00611B86">
              <w:rPr>
                <w:rFonts w:ascii="Tahoma" w:hAnsi="Tahoma" w:cs="Tahoma"/>
              </w:rPr>
              <w:t>evisi</w:t>
            </w:r>
            <w:r>
              <w:rPr>
                <w:rFonts w:ascii="Tahoma" w:hAnsi="Tahoma" w:cs="Tahoma"/>
              </w:rPr>
              <w:t>on</w:t>
            </w:r>
            <w:r w:rsidRPr="001F018D">
              <w:rPr>
                <w:rFonts w:ascii="Tahoma" w:hAnsi="Tahoma" w:cs="Tahoma"/>
              </w:rPr>
              <w:t xml:space="preserve"> cycles.</w:t>
            </w:r>
          </w:p>
          <w:p w:rsidR="0040366C" w:rsidRDefault="0040366C" w:rsidP="001F018D">
            <w:pPr>
              <w:jc w:val="both"/>
              <w:rPr>
                <w:rFonts w:ascii="Tahoma" w:hAnsi="Tahoma" w:cs="Tahoma"/>
              </w:rPr>
            </w:pPr>
          </w:p>
          <w:p w:rsidR="0040366C" w:rsidRDefault="002974AD" w:rsidP="001F01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</w:t>
            </w:r>
            <w:r w:rsidR="001F018D" w:rsidRPr="001F018D">
              <w:rPr>
                <w:rFonts w:ascii="Tahoma" w:hAnsi="Tahoma" w:cs="Tahoma"/>
              </w:rPr>
              <w:t xml:space="preserve"> upcoming </w:t>
            </w:r>
            <w:r w:rsidR="004B7221">
              <w:rPr>
                <w:rFonts w:ascii="Tahoma" w:hAnsi="Tahoma" w:cs="Tahoma"/>
              </w:rPr>
              <w:t xml:space="preserve">2024 </w:t>
            </w:r>
            <w:r w:rsidR="001F018D" w:rsidRPr="001F018D">
              <w:rPr>
                <w:rFonts w:ascii="Tahoma" w:hAnsi="Tahoma" w:cs="Tahoma"/>
              </w:rPr>
              <w:t xml:space="preserve">revision of </w:t>
            </w:r>
            <w:r w:rsidR="004B7221">
              <w:rPr>
                <w:rFonts w:ascii="Tahoma" w:hAnsi="Tahoma" w:cs="Tahoma"/>
              </w:rPr>
              <w:t>the N</w:t>
            </w:r>
            <w:r w:rsidR="001F018D" w:rsidRPr="001F018D">
              <w:rPr>
                <w:rFonts w:ascii="Tahoma" w:hAnsi="Tahoma" w:cs="Tahoma"/>
              </w:rPr>
              <w:t xml:space="preserve">ational </w:t>
            </w:r>
            <w:r w:rsidR="004B7221">
              <w:rPr>
                <w:rFonts w:ascii="Tahoma" w:hAnsi="Tahoma" w:cs="Tahoma"/>
              </w:rPr>
              <w:t>A</w:t>
            </w:r>
            <w:r w:rsidR="001F018D" w:rsidRPr="001F018D">
              <w:rPr>
                <w:rFonts w:ascii="Tahoma" w:hAnsi="Tahoma" w:cs="Tahoma"/>
              </w:rPr>
              <w:t>ccounts</w:t>
            </w:r>
            <w:r>
              <w:rPr>
                <w:rFonts w:ascii="Tahoma" w:hAnsi="Tahoma" w:cs="Tahoma"/>
              </w:rPr>
              <w:t xml:space="preserve"> will </w:t>
            </w:r>
            <w:r w:rsidR="00B12B51">
              <w:rPr>
                <w:rFonts w:ascii="Tahoma" w:hAnsi="Tahoma" w:cs="Tahoma"/>
              </w:rPr>
              <w:t>encompass the</w:t>
            </w:r>
            <w:r w:rsidR="001F018D" w:rsidRPr="001F018D">
              <w:rPr>
                <w:rFonts w:ascii="Tahoma" w:hAnsi="Tahoma" w:cs="Tahoma"/>
              </w:rPr>
              <w:t xml:space="preserve"> methodological improvements accumulated during the period after 2019 within the framework of numerous IPA projects of </w:t>
            </w:r>
            <w:r w:rsidR="00B12B51">
              <w:rPr>
                <w:rFonts w:ascii="Tahoma" w:hAnsi="Tahoma" w:cs="Tahoma"/>
              </w:rPr>
              <w:t xml:space="preserve">assistance of </w:t>
            </w:r>
            <w:r w:rsidR="001F018D" w:rsidRPr="001F018D">
              <w:rPr>
                <w:rFonts w:ascii="Tahoma" w:hAnsi="Tahoma" w:cs="Tahoma"/>
              </w:rPr>
              <w:t xml:space="preserve">the European Union and Eurostat to </w:t>
            </w:r>
            <w:r w:rsidR="00611B86">
              <w:rPr>
                <w:rFonts w:ascii="Tahoma" w:hAnsi="Tahoma" w:cs="Tahoma"/>
              </w:rPr>
              <w:t xml:space="preserve">the </w:t>
            </w:r>
            <w:r w:rsidR="00611B86" w:rsidRPr="00611B86">
              <w:rPr>
                <w:rFonts w:ascii="Tahoma" w:hAnsi="Tahoma" w:cs="Tahoma"/>
              </w:rPr>
              <w:t>Statistical Office of the Republic of Serbia</w:t>
            </w:r>
            <w:r w:rsidR="001F018D" w:rsidRPr="001F018D">
              <w:rPr>
                <w:rFonts w:ascii="Tahoma" w:hAnsi="Tahoma" w:cs="Tahoma"/>
              </w:rPr>
              <w:t xml:space="preserve"> in the </w:t>
            </w:r>
            <w:r w:rsidR="00B12B51">
              <w:rPr>
                <w:rFonts w:ascii="Tahoma" w:hAnsi="Tahoma" w:cs="Tahoma"/>
              </w:rPr>
              <w:t>domain</w:t>
            </w:r>
            <w:r w:rsidR="001F018D" w:rsidRPr="001F018D">
              <w:rPr>
                <w:rFonts w:ascii="Tahoma" w:hAnsi="Tahoma" w:cs="Tahoma"/>
              </w:rPr>
              <w:t xml:space="preserve"> of macroeconomic s</w:t>
            </w:r>
            <w:r w:rsidR="004B7221">
              <w:rPr>
                <w:rFonts w:ascii="Tahoma" w:hAnsi="Tahoma" w:cs="Tahoma"/>
              </w:rPr>
              <w:t xml:space="preserve">tatistics and </w:t>
            </w:r>
            <w:r w:rsidR="00B12B51">
              <w:rPr>
                <w:rFonts w:ascii="Tahoma" w:hAnsi="Tahoma" w:cs="Tahoma"/>
              </w:rPr>
              <w:t>N</w:t>
            </w:r>
            <w:r w:rsidR="004B7221">
              <w:rPr>
                <w:rFonts w:ascii="Tahoma" w:hAnsi="Tahoma" w:cs="Tahoma"/>
              </w:rPr>
              <w:t xml:space="preserve">ational </w:t>
            </w:r>
            <w:r w:rsidR="00B12B51">
              <w:rPr>
                <w:rFonts w:ascii="Tahoma" w:hAnsi="Tahoma" w:cs="Tahoma"/>
              </w:rPr>
              <w:t>A</w:t>
            </w:r>
            <w:r w:rsidR="004B7221">
              <w:rPr>
                <w:rFonts w:ascii="Tahoma" w:hAnsi="Tahoma" w:cs="Tahoma"/>
              </w:rPr>
              <w:t>ccounts</w:t>
            </w:r>
            <w:r>
              <w:rPr>
                <w:rFonts w:ascii="Tahoma" w:hAnsi="Tahoma" w:cs="Tahoma"/>
              </w:rPr>
              <w:t>.</w:t>
            </w:r>
          </w:p>
          <w:p w:rsidR="002974AD" w:rsidRDefault="002974AD" w:rsidP="001F018D">
            <w:pPr>
              <w:jc w:val="both"/>
              <w:rPr>
                <w:rFonts w:ascii="Tahoma" w:hAnsi="Tahoma" w:cs="Tahoma"/>
              </w:rPr>
            </w:pPr>
          </w:p>
          <w:p w:rsidR="001F018D" w:rsidRDefault="00B12B51" w:rsidP="001F018D">
            <w:pPr>
              <w:jc w:val="both"/>
              <w:rPr>
                <w:rFonts w:ascii="Tahoma" w:hAnsi="Tahoma" w:cs="Tahoma"/>
              </w:rPr>
            </w:pPr>
            <w:r w:rsidRPr="001F018D">
              <w:rPr>
                <w:rFonts w:ascii="Tahoma" w:hAnsi="Tahoma" w:cs="Tahoma"/>
              </w:rPr>
              <w:t>In addition</w:t>
            </w:r>
            <w:r w:rsidR="001F018D" w:rsidRPr="001F018D">
              <w:rPr>
                <w:rFonts w:ascii="Tahoma" w:hAnsi="Tahoma" w:cs="Tahoma"/>
              </w:rPr>
              <w:t xml:space="preserve">, the major revision will incorporate improvements </w:t>
            </w:r>
            <w:r w:rsidR="002974AD">
              <w:rPr>
                <w:rFonts w:ascii="Tahoma" w:hAnsi="Tahoma" w:cs="Tahoma"/>
              </w:rPr>
              <w:t>of</w:t>
            </w:r>
            <w:r w:rsidR="001F018D" w:rsidRPr="001F018D">
              <w:rPr>
                <w:rFonts w:ascii="Tahoma" w:hAnsi="Tahoma" w:cs="Tahoma"/>
              </w:rPr>
              <w:t xml:space="preserve"> data sources, both administrative and statistical, as well as the results of the </w:t>
            </w:r>
            <w:r w:rsidR="002974AD">
              <w:rPr>
                <w:rFonts w:ascii="Tahoma" w:hAnsi="Tahoma" w:cs="Tahoma"/>
              </w:rPr>
              <w:t>Population and Agriculture censuses.</w:t>
            </w:r>
          </w:p>
          <w:p w:rsidR="00C532B3" w:rsidRPr="001F018D" w:rsidRDefault="00C532B3" w:rsidP="001F018D">
            <w:pPr>
              <w:jc w:val="both"/>
              <w:rPr>
                <w:rFonts w:ascii="Tahoma" w:hAnsi="Tahoma" w:cs="Tahoma"/>
              </w:rPr>
            </w:pPr>
          </w:p>
          <w:p w:rsidR="001F018D" w:rsidRDefault="001F018D" w:rsidP="001F018D">
            <w:pPr>
              <w:jc w:val="both"/>
              <w:rPr>
                <w:rFonts w:ascii="Tahoma" w:hAnsi="Tahoma" w:cs="Tahoma"/>
              </w:rPr>
            </w:pPr>
            <w:r w:rsidRPr="001F018D">
              <w:rPr>
                <w:rFonts w:ascii="Tahoma" w:hAnsi="Tahoma" w:cs="Tahoma"/>
              </w:rPr>
              <w:t xml:space="preserve">Major revisions of </w:t>
            </w:r>
            <w:r w:rsidR="002974AD">
              <w:rPr>
                <w:rFonts w:ascii="Tahoma" w:hAnsi="Tahoma" w:cs="Tahoma"/>
              </w:rPr>
              <w:t>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2974AD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 xml:space="preserve">ccounts represent a regular, </w:t>
            </w:r>
            <w:r w:rsidR="002974AD">
              <w:rPr>
                <w:rFonts w:ascii="Tahoma" w:hAnsi="Tahoma" w:cs="Tahoma"/>
              </w:rPr>
              <w:t>planned</w:t>
            </w:r>
            <w:r w:rsidR="008E2826" w:rsidRPr="008E2826">
              <w:rPr>
                <w:rFonts w:ascii="Tahoma" w:hAnsi="Tahoma" w:cs="Tahoma"/>
              </w:rPr>
              <w:t xml:space="preserve"> </w:t>
            </w:r>
            <w:r w:rsidRPr="001F018D">
              <w:rPr>
                <w:rFonts w:ascii="Tahoma" w:hAnsi="Tahoma" w:cs="Tahoma"/>
              </w:rPr>
              <w:t xml:space="preserve">process by which national statistical institutions, based on acquired knowledge, experience and </w:t>
            </w:r>
            <w:r w:rsidR="008E2826">
              <w:rPr>
                <w:rFonts w:ascii="Tahoma" w:hAnsi="Tahoma" w:cs="Tahoma"/>
              </w:rPr>
              <w:t>upgraded</w:t>
            </w:r>
            <w:r w:rsidRPr="001F018D">
              <w:rPr>
                <w:rFonts w:ascii="Tahoma" w:hAnsi="Tahoma" w:cs="Tahoma"/>
              </w:rPr>
              <w:t xml:space="preserve"> methods and data sources, periodically improve the quality of statistical calculations and data in terms of </w:t>
            </w:r>
            <w:r w:rsidR="002974AD">
              <w:rPr>
                <w:rFonts w:ascii="Tahoma" w:hAnsi="Tahoma" w:cs="Tahoma"/>
              </w:rPr>
              <w:t>exhaustiveness</w:t>
            </w:r>
            <w:r w:rsidRPr="001F018D">
              <w:rPr>
                <w:rFonts w:ascii="Tahoma" w:hAnsi="Tahoma" w:cs="Tahoma"/>
              </w:rPr>
              <w:t>, refinement and precision, as well as internal consistency of the subsystem</w:t>
            </w:r>
            <w:r w:rsidR="002974AD">
              <w:rPr>
                <w:rFonts w:ascii="Tahoma" w:hAnsi="Tahoma" w:cs="Tahoma"/>
              </w:rPr>
              <w:t>s</w:t>
            </w:r>
            <w:r w:rsidRPr="001F018D">
              <w:rPr>
                <w:rFonts w:ascii="Tahoma" w:hAnsi="Tahoma" w:cs="Tahoma"/>
              </w:rPr>
              <w:t xml:space="preserve"> of </w:t>
            </w:r>
            <w:r w:rsidR="002974AD">
              <w:rPr>
                <w:rFonts w:ascii="Tahoma" w:hAnsi="Tahoma" w:cs="Tahoma"/>
              </w:rPr>
              <w:t>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2974AD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 xml:space="preserve">ccounts. </w:t>
            </w:r>
            <w:r w:rsidR="002974AD">
              <w:rPr>
                <w:rFonts w:ascii="Tahoma" w:hAnsi="Tahoma" w:cs="Tahoma"/>
              </w:rPr>
              <w:t xml:space="preserve">Moreover, </w:t>
            </w:r>
            <w:r w:rsidRPr="001F018D">
              <w:rPr>
                <w:rFonts w:ascii="Tahoma" w:hAnsi="Tahoma" w:cs="Tahoma"/>
              </w:rPr>
              <w:t>major revision</w:t>
            </w:r>
            <w:r w:rsidR="002974AD">
              <w:rPr>
                <w:rFonts w:ascii="Tahoma" w:hAnsi="Tahoma" w:cs="Tahoma"/>
              </w:rPr>
              <w:t xml:space="preserve">s </w:t>
            </w:r>
            <w:r w:rsidR="00B12B51">
              <w:rPr>
                <w:rFonts w:ascii="Tahoma" w:hAnsi="Tahoma" w:cs="Tahoma"/>
              </w:rPr>
              <w:t>represent</w:t>
            </w:r>
            <w:r w:rsidR="002974AD">
              <w:rPr>
                <w:rFonts w:ascii="Tahoma" w:hAnsi="Tahoma" w:cs="Tahoma"/>
              </w:rPr>
              <w:t xml:space="preserve"> a tool for reaching</w:t>
            </w:r>
            <w:r w:rsidRPr="001F018D">
              <w:rPr>
                <w:rFonts w:ascii="Tahoma" w:hAnsi="Tahoma" w:cs="Tahoma"/>
              </w:rPr>
              <w:t xml:space="preserve"> higher degree of consistency of </w:t>
            </w:r>
            <w:r w:rsidR="002974AD">
              <w:rPr>
                <w:rFonts w:ascii="Tahoma" w:hAnsi="Tahoma" w:cs="Tahoma"/>
              </w:rPr>
              <w:t>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2974AD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 xml:space="preserve">ccounts with branch statistics and external </w:t>
            </w:r>
            <w:r w:rsidR="002974AD">
              <w:rPr>
                <w:rFonts w:ascii="Tahoma" w:hAnsi="Tahoma" w:cs="Tahoma"/>
              </w:rPr>
              <w:t xml:space="preserve">data </w:t>
            </w:r>
            <w:r w:rsidRPr="001F018D">
              <w:rPr>
                <w:rFonts w:ascii="Tahoma" w:hAnsi="Tahoma" w:cs="Tahoma"/>
              </w:rPr>
              <w:t>sources, i.e. pro</w:t>
            </w:r>
            <w:r w:rsidR="002974AD">
              <w:rPr>
                <w:rFonts w:ascii="Tahoma" w:hAnsi="Tahoma" w:cs="Tahoma"/>
              </w:rPr>
              <w:t>viders</w:t>
            </w:r>
            <w:r w:rsidRPr="001F018D">
              <w:rPr>
                <w:rFonts w:ascii="Tahoma" w:hAnsi="Tahoma" w:cs="Tahoma"/>
              </w:rPr>
              <w:t xml:space="preserve"> of statistical data (N</w:t>
            </w:r>
            <w:r w:rsidR="001C0CEB">
              <w:rPr>
                <w:rFonts w:ascii="Tahoma" w:hAnsi="Tahoma" w:cs="Tahoma"/>
              </w:rPr>
              <w:t xml:space="preserve">ational </w:t>
            </w:r>
            <w:r w:rsidR="00D12537">
              <w:rPr>
                <w:rFonts w:ascii="Tahoma" w:hAnsi="Tahoma" w:cs="Tahoma"/>
              </w:rPr>
              <w:t>B</w:t>
            </w:r>
            <w:r w:rsidR="001C0CEB">
              <w:rPr>
                <w:rFonts w:ascii="Tahoma" w:hAnsi="Tahoma" w:cs="Tahoma"/>
              </w:rPr>
              <w:t xml:space="preserve">ank of Serbia, </w:t>
            </w:r>
            <w:r w:rsidRPr="001F018D">
              <w:rPr>
                <w:rFonts w:ascii="Tahoma" w:hAnsi="Tahoma" w:cs="Tahoma"/>
              </w:rPr>
              <w:t xml:space="preserve">Ministry of Finance, Tax Administration, etc.) whose calculations and reporting systems are subject to evolution and, over time, </w:t>
            </w:r>
            <w:r w:rsidR="002974AD">
              <w:rPr>
                <w:rFonts w:ascii="Tahoma" w:hAnsi="Tahoma" w:cs="Tahoma"/>
              </w:rPr>
              <w:t>are also introducing</w:t>
            </w:r>
            <w:r w:rsidRPr="001F018D">
              <w:rPr>
                <w:rFonts w:ascii="Tahoma" w:hAnsi="Tahoma" w:cs="Tahoma"/>
              </w:rPr>
              <w:t xml:space="preserve"> new and improv</w:t>
            </w:r>
            <w:r w:rsidR="002974AD">
              <w:rPr>
                <w:rFonts w:ascii="Tahoma" w:hAnsi="Tahoma" w:cs="Tahoma"/>
              </w:rPr>
              <w:t>ing</w:t>
            </w:r>
            <w:r w:rsidRPr="001F018D">
              <w:rPr>
                <w:rFonts w:ascii="Tahoma" w:hAnsi="Tahoma" w:cs="Tahoma"/>
              </w:rPr>
              <w:t xml:space="preserve"> their specific methods and data sources (registries, databases, </w:t>
            </w:r>
            <w:r w:rsidR="00D12537">
              <w:rPr>
                <w:rFonts w:ascii="Tahoma" w:hAnsi="Tahoma" w:cs="Tahoma"/>
              </w:rPr>
              <w:t>surveys</w:t>
            </w:r>
            <w:r w:rsidRPr="001F018D">
              <w:rPr>
                <w:rFonts w:ascii="Tahoma" w:hAnsi="Tahoma" w:cs="Tahoma"/>
              </w:rPr>
              <w:t>, etc.).</w:t>
            </w:r>
          </w:p>
          <w:p w:rsidR="008E2826" w:rsidRPr="001F018D" w:rsidRDefault="008E2826" w:rsidP="001F018D">
            <w:pPr>
              <w:jc w:val="both"/>
              <w:rPr>
                <w:rFonts w:ascii="Tahoma" w:hAnsi="Tahoma" w:cs="Tahoma"/>
              </w:rPr>
            </w:pPr>
          </w:p>
          <w:p w:rsidR="001F018D" w:rsidRDefault="001F018D" w:rsidP="001F018D">
            <w:pPr>
              <w:jc w:val="both"/>
              <w:rPr>
                <w:rFonts w:ascii="Tahoma" w:hAnsi="Tahoma" w:cs="Tahoma"/>
              </w:rPr>
            </w:pPr>
            <w:r w:rsidRPr="001F018D">
              <w:rPr>
                <w:rFonts w:ascii="Tahoma" w:hAnsi="Tahoma" w:cs="Tahoma"/>
              </w:rPr>
              <w:t xml:space="preserve">The major revision of </w:t>
            </w:r>
            <w:r w:rsidR="002974AD">
              <w:rPr>
                <w:rFonts w:ascii="Tahoma" w:hAnsi="Tahoma" w:cs="Tahoma"/>
              </w:rPr>
              <w:t>the N</w:t>
            </w:r>
            <w:r w:rsidRPr="001F018D">
              <w:rPr>
                <w:rFonts w:ascii="Tahoma" w:hAnsi="Tahoma" w:cs="Tahoma"/>
              </w:rPr>
              <w:t xml:space="preserve">ational </w:t>
            </w:r>
            <w:r w:rsidR="002974AD">
              <w:rPr>
                <w:rFonts w:ascii="Tahoma" w:hAnsi="Tahoma" w:cs="Tahoma"/>
              </w:rPr>
              <w:t>A</w:t>
            </w:r>
            <w:r w:rsidRPr="001F018D">
              <w:rPr>
                <w:rFonts w:ascii="Tahoma" w:hAnsi="Tahoma" w:cs="Tahoma"/>
              </w:rPr>
              <w:t xml:space="preserve">ccounts is at the same time an instrument for the planned harmonization of the statistical system of the Republic of Serbia with the </w:t>
            </w:r>
            <w:r w:rsidRPr="00B12B51">
              <w:rPr>
                <w:rFonts w:ascii="Tahoma" w:hAnsi="Tahoma" w:cs="Tahoma"/>
                <w:i/>
              </w:rPr>
              <w:t xml:space="preserve">European system of </w:t>
            </w:r>
            <w:r w:rsidR="002974AD" w:rsidRPr="00B12B51">
              <w:rPr>
                <w:rFonts w:ascii="Tahoma" w:hAnsi="Tahoma" w:cs="Tahoma"/>
                <w:i/>
              </w:rPr>
              <w:t>N</w:t>
            </w:r>
            <w:r w:rsidRPr="00B12B51">
              <w:rPr>
                <w:rFonts w:ascii="Tahoma" w:hAnsi="Tahoma" w:cs="Tahoma"/>
                <w:i/>
              </w:rPr>
              <w:t xml:space="preserve">ational and </w:t>
            </w:r>
            <w:r w:rsidR="002974AD" w:rsidRPr="00B12B51">
              <w:rPr>
                <w:rFonts w:ascii="Tahoma" w:hAnsi="Tahoma" w:cs="Tahoma"/>
                <w:i/>
              </w:rPr>
              <w:t>R</w:t>
            </w:r>
            <w:r w:rsidRPr="00B12B51">
              <w:rPr>
                <w:rFonts w:ascii="Tahoma" w:hAnsi="Tahoma" w:cs="Tahoma"/>
                <w:i/>
              </w:rPr>
              <w:t xml:space="preserve">egional accounts </w:t>
            </w:r>
            <w:r w:rsidR="002974AD" w:rsidRPr="00B12B51">
              <w:rPr>
                <w:rFonts w:ascii="Tahoma" w:hAnsi="Tahoma" w:cs="Tahoma"/>
                <w:i/>
              </w:rPr>
              <w:t xml:space="preserve">- </w:t>
            </w:r>
            <w:r w:rsidRPr="00B12B51">
              <w:rPr>
                <w:rFonts w:ascii="Tahoma" w:hAnsi="Tahoma" w:cs="Tahoma"/>
                <w:i/>
              </w:rPr>
              <w:t>ESA 2010</w:t>
            </w:r>
            <w:r w:rsidRPr="001F018D">
              <w:rPr>
                <w:rFonts w:ascii="Tahoma" w:hAnsi="Tahoma" w:cs="Tahoma"/>
              </w:rPr>
              <w:t xml:space="preserve">. The major revision </w:t>
            </w:r>
            <w:r w:rsidR="002974AD">
              <w:rPr>
                <w:rFonts w:ascii="Tahoma" w:hAnsi="Tahoma" w:cs="Tahoma"/>
              </w:rPr>
              <w:t>of</w:t>
            </w:r>
            <w:r w:rsidRPr="001F018D">
              <w:rPr>
                <w:rFonts w:ascii="Tahoma" w:hAnsi="Tahoma" w:cs="Tahoma"/>
              </w:rPr>
              <w:t xml:space="preserve"> 2024 will represent another significant step forward in the process of harmonizing the </w:t>
            </w:r>
            <w:r w:rsidR="00611B86" w:rsidRPr="00611B86">
              <w:rPr>
                <w:rFonts w:ascii="Tahoma" w:hAnsi="Tahoma" w:cs="Tahoma"/>
              </w:rPr>
              <w:t xml:space="preserve">Statistical Office of the Republic of Serbia </w:t>
            </w:r>
            <w:r w:rsidRPr="001F018D">
              <w:rPr>
                <w:rFonts w:ascii="Tahoma" w:hAnsi="Tahoma" w:cs="Tahoma"/>
              </w:rPr>
              <w:t>with</w:t>
            </w:r>
            <w:r w:rsidR="00D12BC8">
              <w:rPr>
                <w:rFonts w:ascii="Tahoma" w:hAnsi="Tahoma" w:cs="Tahoma"/>
              </w:rPr>
              <w:t xml:space="preserve"> the</w:t>
            </w:r>
            <w:r w:rsidRPr="001F018D">
              <w:rPr>
                <w:rFonts w:ascii="Tahoma" w:hAnsi="Tahoma" w:cs="Tahoma"/>
              </w:rPr>
              <w:t xml:space="preserve"> EU regulations and standards in the field </w:t>
            </w:r>
            <w:r w:rsidRPr="00F239C9">
              <w:rPr>
                <w:rFonts w:ascii="Tahoma" w:hAnsi="Tahoma" w:cs="Tahoma"/>
              </w:rPr>
              <w:t xml:space="preserve">of </w:t>
            </w:r>
            <w:r w:rsidR="00A54745" w:rsidRPr="00F239C9">
              <w:rPr>
                <w:rFonts w:ascii="Tahoma" w:hAnsi="Tahoma" w:cs="Tahoma"/>
              </w:rPr>
              <w:t>N</w:t>
            </w:r>
            <w:r w:rsidRPr="00F239C9">
              <w:rPr>
                <w:rFonts w:ascii="Tahoma" w:hAnsi="Tahoma" w:cs="Tahoma"/>
              </w:rPr>
              <w:t xml:space="preserve">ational </w:t>
            </w:r>
            <w:r w:rsidR="00A54745" w:rsidRPr="00F239C9">
              <w:rPr>
                <w:rFonts w:ascii="Tahoma" w:hAnsi="Tahoma" w:cs="Tahoma"/>
              </w:rPr>
              <w:t>A</w:t>
            </w:r>
            <w:r w:rsidRPr="00F239C9">
              <w:rPr>
                <w:rFonts w:ascii="Tahoma" w:hAnsi="Tahoma" w:cs="Tahoma"/>
              </w:rPr>
              <w:t>ccounts.</w:t>
            </w:r>
          </w:p>
          <w:p w:rsidR="00D12BC8" w:rsidRPr="001F018D" w:rsidRDefault="00D12BC8" w:rsidP="001F018D">
            <w:pPr>
              <w:jc w:val="both"/>
              <w:rPr>
                <w:rFonts w:ascii="Tahoma" w:hAnsi="Tahoma" w:cs="Tahoma"/>
              </w:rPr>
            </w:pPr>
          </w:p>
          <w:p w:rsidR="001F018D" w:rsidRDefault="001F018D" w:rsidP="001F018D">
            <w:pPr>
              <w:jc w:val="both"/>
              <w:rPr>
                <w:rFonts w:ascii="Tahoma" w:hAnsi="Tahoma" w:cs="Tahoma"/>
              </w:rPr>
            </w:pPr>
            <w:r w:rsidRPr="001F018D">
              <w:rPr>
                <w:rFonts w:ascii="Tahoma" w:hAnsi="Tahoma" w:cs="Tahoma"/>
              </w:rPr>
              <w:t xml:space="preserve">The </w:t>
            </w:r>
            <w:r w:rsidR="00D12BC8">
              <w:rPr>
                <w:rFonts w:ascii="Tahoma" w:hAnsi="Tahoma" w:cs="Tahoma"/>
              </w:rPr>
              <w:t>revision</w:t>
            </w:r>
            <w:r w:rsidRPr="001F018D">
              <w:rPr>
                <w:rFonts w:ascii="Tahoma" w:hAnsi="Tahoma" w:cs="Tahoma"/>
              </w:rPr>
              <w:t xml:space="preserve"> </w:t>
            </w:r>
            <w:r w:rsidRPr="00F239C9">
              <w:rPr>
                <w:rFonts w:ascii="Tahoma" w:hAnsi="Tahoma" w:cs="Tahoma"/>
              </w:rPr>
              <w:t xml:space="preserve">of </w:t>
            </w:r>
            <w:r w:rsidR="00A54745" w:rsidRPr="00F239C9">
              <w:rPr>
                <w:rFonts w:ascii="Tahoma" w:hAnsi="Tahoma" w:cs="Tahoma"/>
              </w:rPr>
              <w:t>N</w:t>
            </w:r>
            <w:r w:rsidRPr="00F239C9">
              <w:rPr>
                <w:rFonts w:ascii="Tahoma" w:hAnsi="Tahoma" w:cs="Tahoma"/>
              </w:rPr>
              <w:t xml:space="preserve">ational </w:t>
            </w:r>
            <w:r w:rsidR="00A54745" w:rsidRPr="00F239C9">
              <w:rPr>
                <w:rFonts w:ascii="Tahoma" w:hAnsi="Tahoma" w:cs="Tahoma"/>
              </w:rPr>
              <w:t>A</w:t>
            </w:r>
            <w:r w:rsidRPr="00F239C9">
              <w:rPr>
                <w:rFonts w:ascii="Tahoma" w:hAnsi="Tahoma" w:cs="Tahoma"/>
              </w:rPr>
              <w:t>ccounts</w:t>
            </w:r>
            <w:r w:rsidRPr="001F018D">
              <w:rPr>
                <w:rFonts w:ascii="Tahoma" w:hAnsi="Tahoma" w:cs="Tahoma"/>
              </w:rPr>
              <w:t xml:space="preserve"> in 2024 </w:t>
            </w:r>
            <w:proofErr w:type="gramStart"/>
            <w:r w:rsidRPr="001F018D">
              <w:rPr>
                <w:rFonts w:ascii="Tahoma" w:hAnsi="Tahoma" w:cs="Tahoma"/>
              </w:rPr>
              <w:t xml:space="preserve">will be supervised and verified by </w:t>
            </w:r>
            <w:r w:rsidR="002974AD">
              <w:rPr>
                <w:rFonts w:ascii="Tahoma" w:hAnsi="Tahoma" w:cs="Tahoma"/>
              </w:rPr>
              <w:t xml:space="preserve">the </w:t>
            </w:r>
            <w:r w:rsidRPr="001F018D">
              <w:rPr>
                <w:rFonts w:ascii="Tahoma" w:hAnsi="Tahoma" w:cs="Tahoma"/>
              </w:rPr>
              <w:t>Eurostat</w:t>
            </w:r>
            <w:proofErr w:type="gramEnd"/>
            <w:r w:rsidRPr="001F018D">
              <w:rPr>
                <w:rFonts w:ascii="Tahoma" w:hAnsi="Tahoma" w:cs="Tahoma"/>
              </w:rPr>
              <w:t>.</w:t>
            </w:r>
          </w:p>
          <w:p w:rsidR="00611B86" w:rsidRPr="001F018D" w:rsidRDefault="00611B86" w:rsidP="001F018D">
            <w:pPr>
              <w:jc w:val="both"/>
              <w:rPr>
                <w:rFonts w:ascii="Tahoma" w:hAnsi="Tahoma" w:cs="Tahoma"/>
              </w:rPr>
            </w:pPr>
          </w:p>
          <w:p w:rsidR="004C36A6" w:rsidRPr="004C36A6" w:rsidRDefault="001C0CEB" w:rsidP="001F01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r</w:t>
            </w:r>
            <w:r w:rsidR="00D12BC8">
              <w:rPr>
                <w:rFonts w:ascii="Tahoma" w:hAnsi="Tahoma" w:cs="Tahoma"/>
              </w:rPr>
              <w:t>evised data on the G</w:t>
            </w:r>
            <w:r w:rsidR="004C36A6" w:rsidRPr="004C36A6">
              <w:rPr>
                <w:rFonts w:ascii="Tahoma" w:hAnsi="Tahoma" w:cs="Tahoma"/>
              </w:rPr>
              <w:t xml:space="preserve">ross domestic product (GDP) and other macroeconomic indicators of the system of </w:t>
            </w:r>
            <w:r w:rsidR="002974AD">
              <w:rPr>
                <w:rFonts w:ascii="Tahoma" w:hAnsi="Tahoma" w:cs="Tahoma"/>
              </w:rPr>
              <w:t>N</w:t>
            </w:r>
            <w:r w:rsidR="004C36A6" w:rsidRPr="004C36A6">
              <w:rPr>
                <w:rFonts w:ascii="Tahoma" w:hAnsi="Tahoma" w:cs="Tahoma"/>
              </w:rPr>
              <w:t xml:space="preserve">ational </w:t>
            </w:r>
            <w:r w:rsidR="002974AD">
              <w:rPr>
                <w:rFonts w:ascii="Tahoma" w:hAnsi="Tahoma" w:cs="Tahoma"/>
              </w:rPr>
              <w:t>A</w:t>
            </w:r>
            <w:r w:rsidR="004C36A6" w:rsidRPr="004C36A6">
              <w:rPr>
                <w:rFonts w:ascii="Tahoma" w:hAnsi="Tahoma" w:cs="Tahoma"/>
              </w:rPr>
              <w:t xml:space="preserve">ccounts for 2023, based on the </w:t>
            </w:r>
            <w:r w:rsidR="00D12BC8">
              <w:rPr>
                <w:rFonts w:ascii="Tahoma" w:hAnsi="Tahoma" w:cs="Tahoma"/>
              </w:rPr>
              <w:t>upgraded</w:t>
            </w:r>
            <w:r w:rsidR="004C36A6" w:rsidRPr="004C36A6">
              <w:rPr>
                <w:rFonts w:ascii="Tahoma" w:hAnsi="Tahoma" w:cs="Tahoma"/>
              </w:rPr>
              <w:t xml:space="preserve"> methodology and new data sources, will be published in regular dynamics according to the </w:t>
            </w:r>
            <w:r w:rsidR="00D12BC8">
              <w:rPr>
                <w:rFonts w:ascii="Tahoma" w:hAnsi="Tahoma" w:cs="Tahoma"/>
              </w:rPr>
              <w:t>SORS</w:t>
            </w:r>
            <w:r w:rsidR="00D12BC8" w:rsidRPr="004C36A6">
              <w:rPr>
                <w:rFonts w:ascii="Tahoma" w:hAnsi="Tahoma" w:cs="Tahoma"/>
              </w:rPr>
              <w:t xml:space="preserve"> </w:t>
            </w:r>
            <w:r w:rsidR="00D12BC8" w:rsidRPr="00D12BC8">
              <w:rPr>
                <w:rFonts w:ascii="Tahoma" w:hAnsi="Tahoma" w:cs="Tahoma"/>
              </w:rPr>
              <w:t xml:space="preserve">calendar of </w:t>
            </w:r>
            <w:proofErr w:type="spellStart"/>
            <w:r w:rsidR="00D12BC8" w:rsidRPr="00D12BC8">
              <w:rPr>
                <w:rFonts w:ascii="Tahoma" w:hAnsi="Tahoma" w:cs="Tahoma"/>
              </w:rPr>
              <w:t>relesaes</w:t>
            </w:r>
            <w:proofErr w:type="spellEnd"/>
            <w:r w:rsidR="004C36A6" w:rsidRPr="004C36A6">
              <w:rPr>
                <w:rFonts w:ascii="Tahoma" w:hAnsi="Tahoma" w:cs="Tahoma"/>
              </w:rPr>
              <w:t xml:space="preserve">, together with the corresponding series of </w:t>
            </w:r>
            <w:r w:rsidR="002974AD">
              <w:rPr>
                <w:rFonts w:ascii="Tahoma" w:hAnsi="Tahoma" w:cs="Tahoma"/>
              </w:rPr>
              <w:t>recalculated</w:t>
            </w:r>
            <w:r w:rsidR="004C36A6" w:rsidRPr="004C36A6">
              <w:rPr>
                <w:rFonts w:ascii="Tahoma" w:hAnsi="Tahoma" w:cs="Tahoma"/>
              </w:rPr>
              <w:t xml:space="preserve"> data for the period 1995 - 2022.</w:t>
            </w:r>
          </w:p>
          <w:p w:rsidR="004C36A6" w:rsidRDefault="004C36A6" w:rsidP="001F018D">
            <w:pPr>
              <w:jc w:val="both"/>
            </w:pPr>
          </w:p>
          <w:p w:rsidR="001F018D" w:rsidRDefault="00D12BC8" w:rsidP="001F01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In the coming period, </w:t>
            </w:r>
            <w:r w:rsidR="004C36A6">
              <w:rPr>
                <w:rFonts w:ascii="Tahoma" w:hAnsi="Tahoma" w:cs="Tahoma"/>
              </w:rPr>
              <w:t>SORS</w:t>
            </w:r>
            <w:r w:rsidR="001F018D" w:rsidRPr="001F018D">
              <w:rPr>
                <w:rFonts w:ascii="Tahoma" w:hAnsi="Tahoma" w:cs="Tahoma"/>
              </w:rPr>
              <w:t xml:space="preserve"> will inform users in a timely manner about possible changes </w:t>
            </w:r>
            <w:r w:rsidR="002974AD">
              <w:rPr>
                <w:rFonts w:ascii="Tahoma" w:hAnsi="Tahoma" w:cs="Tahoma"/>
              </w:rPr>
              <w:t>of</w:t>
            </w:r>
            <w:r w:rsidR="001F018D" w:rsidRPr="001F018D">
              <w:rPr>
                <w:rFonts w:ascii="Tahoma" w:hAnsi="Tahoma" w:cs="Tahoma"/>
              </w:rPr>
              <w:t xml:space="preserve"> the plan of the major </w:t>
            </w:r>
            <w:r w:rsidR="004C36A6">
              <w:rPr>
                <w:rFonts w:ascii="Tahoma" w:hAnsi="Tahoma" w:cs="Tahoma"/>
              </w:rPr>
              <w:t>revision</w:t>
            </w:r>
            <w:r w:rsidR="001F018D" w:rsidRPr="001F018D">
              <w:rPr>
                <w:rFonts w:ascii="Tahoma" w:hAnsi="Tahoma" w:cs="Tahoma"/>
              </w:rPr>
              <w:t xml:space="preserve">, as well as about all significant issues related to the </w:t>
            </w:r>
            <w:r w:rsidR="004C36A6">
              <w:rPr>
                <w:rFonts w:ascii="Tahoma" w:hAnsi="Tahoma" w:cs="Tahoma"/>
              </w:rPr>
              <w:t>revision</w:t>
            </w:r>
            <w:r w:rsidR="001F018D" w:rsidRPr="001F018D">
              <w:rPr>
                <w:rFonts w:ascii="Tahoma" w:hAnsi="Tahoma" w:cs="Tahoma"/>
              </w:rPr>
              <w:t>.</w:t>
            </w:r>
          </w:p>
          <w:p w:rsidR="004C36A6" w:rsidRPr="001F018D" w:rsidRDefault="004C36A6" w:rsidP="001F018D">
            <w:pPr>
              <w:jc w:val="both"/>
              <w:rPr>
                <w:rFonts w:ascii="Tahoma" w:hAnsi="Tahoma" w:cs="Tahoma"/>
              </w:rPr>
            </w:pPr>
          </w:p>
          <w:p w:rsidR="001F018D" w:rsidRDefault="005342E2" w:rsidP="001F018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1F018D" w:rsidRPr="001F018D">
              <w:rPr>
                <w:rFonts w:ascii="Tahoma" w:hAnsi="Tahoma" w:cs="Tahoma"/>
              </w:rPr>
              <w:t xml:space="preserve">he </w:t>
            </w:r>
            <w:r w:rsidR="004C36A6">
              <w:rPr>
                <w:rFonts w:ascii="Tahoma" w:hAnsi="Tahoma" w:cs="Tahoma"/>
              </w:rPr>
              <w:t>SORS</w:t>
            </w:r>
            <w:r w:rsidR="001F018D" w:rsidRPr="001F01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also </w:t>
            </w:r>
            <w:r w:rsidR="001F018D" w:rsidRPr="001F018D">
              <w:rPr>
                <w:rFonts w:ascii="Tahoma" w:hAnsi="Tahoma" w:cs="Tahoma"/>
              </w:rPr>
              <w:t xml:space="preserve">announces changes in the periodicity of </w:t>
            </w:r>
            <w:r>
              <w:rPr>
                <w:rFonts w:ascii="Tahoma" w:hAnsi="Tahoma" w:cs="Tahoma"/>
              </w:rPr>
              <w:t>compilation and publication of S</w:t>
            </w:r>
            <w:r w:rsidR="001F018D" w:rsidRPr="001F018D">
              <w:rPr>
                <w:rFonts w:ascii="Tahoma" w:hAnsi="Tahoma" w:cs="Tahoma"/>
              </w:rPr>
              <w:t xml:space="preserve">upply and </w:t>
            </w:r>
            <w:r>
              <w:rPr>
                <w:rFonts w:ascii="Tahoma" w:hAnsi="Tahoma" w:cs="Tahoma"/>
              </w:rPr>
              <w:t>U</w:t>
            </w:r>
            <w:r w:rsidR="001F018D" w:rsidRPr="001F018D">
              <w:rPr>
                <w:rFonts w:ascii="Tahoma" w:hAnsi="Tahoma" w:cs="Tahoma"/>
              </w:rPr>
              <w:t xml:space="preserve">se tables. Namely, the previous dynamics of data publication of </w:t>
            </w:r>
            <w:r>
              <w:rPr>
                <w:rFonts w:ascii="Tahoma" w:hAnsi="Tahoma" w:cs="Tahoma"/>
              </w:rPr>
              <w:t>S</w:t>
            </w:r>
            <w:r w:rsidR="001F018D" w:rsidRPr="001F018D">
              <w:rPr>
                <w:rFonts w:ascii="Tahoma" w:hAnsi="Tahoma" w:cs="Tahoma"/>
              </w:rPr>
              <w:t xml:space="preserve">upply and </w:t>
            </w:r>
            <w:r>
              <w:rPr>
                <w:rFonts w:ascii="Tahoma" w:hAnsi="Tahoma" w:cs="Tahoma"/>
              </w:rPr>
              <w:t>U</w:t>
            </w:r>
            <w:r w:rsidR="001F018D" w:rsidRPr="001F018D">
              <w:rPr>
                <w:rFonts w:ascii="Tahoma" w:hAnsi="Tahoma" w:cs="Tahoma"/>
              </w:rPr>
              <w:t>se tables was 21 months (two years) after the end of the reference year (t+21 months), which is one year earl</w:t>
            </w:r>
            <w:r w:rsidR="002974AD">
              <w:rPr>
                <w:rFonts w:ascii="Tahoma" w:hAnsi="Tahoma" w:cs="Tahoma"/>
              </w:rPr>
              <w:t>ier</w:t>
            </w:r>
            <w:r w:rsidR="001F018D" w:rsidRPr="001F018D">
              <w:rPr>
                <w:rFonts w:ascii="Tahoma" w:hAnsi="Tahoma" w:cs="Tahoma"/>
              </w:rPr>
              <w:t xml:space="preserve"> compared to the requirements of Eurostat and </w:t>
            </w:r>
            <w:r w:rsidR="002974AD">
              <w:rPr>
                <w:rFonts w:ascii="Tahoma" w:hAnsi="Tahoma" w:cs="Tahoma"/>
              </w:rPr>
              <w:t xml:space="preserve">practice of </w:t>
            </w:r>
            <w:r w:rsidR="001F018D" w:rsidRPr="001F018D">
              <w:rPr>
                <w:rFonts w:ascii="Tahoma" w:hAnsi="Tahoma" w:cs="Tahoma"/>
              </w:rPr>
              <w:t xml:space="preserve">all other EU member states. In order to </w:t>
            </w:r>
            <w:r w:rsidR="004C36A6">
              <w:rPr>
                <w:rFonts w:ascii="Tahoma" w:hAnsi="Tahoma" w:cs="Tahoma"/>
              </w:rPr>
              <w:t>be in line</w:t>
            </w:r>
            <w:r w:rsidR="001F018D" w:rsidRPr="001F018D">
              <w:rPr>
                <w:rFonts w:ascii="Tahoma" w:hAnsi="Tahoma" w:cs="Tahoma"/>
              </w:rPr>
              <w:t xml:space="preserve"> with the publication dynamics of Eurostat and EU countries, </w:t>
            </w:r>
            <w:r w:rsidR="004C36A6">
              <w:rPr>
                <w:rFonts w:ascii="Tahoma" w:hAnsi="Tahoma" w:cs="Tahoma"/>
              </w:rPr>
              <w:t>the SORS</w:t>
            </w:r>
            <w:r w:rsidR="001F018D" w:rsidRPr="001F018D">
              <w:rPr>
                <w:rFonts w:ascii="Tahoma" w:hAnsi="Tahoma" w:cs="Tahoma"/>
              </w:rPr>
              <w:t xml:space="preserve"> announce</w:t>
            </w:r>
            <w:r w:rsidR="004C36A6">
              <w:rPr>
                <w:rFonts w:ascii="Tahoma" w:hAnsi="Tahoma" w:cs="Tahoma"/>
              </w:rPr>
              <w:t>s</w:t>
            </w:r>
            <w:r w:rsidR="001F018D" w:rsidRPr="001F018D">
              <w:rPr>
                <w:rFonts w:ascii="Tahoma" w:hAnsi="Tahoma" w:cs="Tahoma"/>
              </w:rPr>
              <w:t xml:space="preserve"> that starting from 2024, the </w:t>
            </w:r>
            <w:r w:rsidR="00D12BC8">
              <w:rPr>
                <w:rFonts w:ascii="Tahoma" w:hAnsi="Tahoma" w:cs="Tahoma"/>
              </w:rPr>
              <w:t>S</w:t>
            </w:r>
            <w:r w:rsidR="001F018D" w:rsidRPr="001F018D">
              <w:rPr>
                <w:rFonts w:ascii="Tahoma" w:hAnsi="Tahoma" w:cs="Tahoma"/>
              </w:rPr>
              <w:t xml:space="preserve">upply and </w:t>
            </w:r>
            <w:r w:rsidR="00D12BC8">
              <w:rPr>
                <w:rFonts w:ascii="Tahoma" w:hAnsi="Tahoma" w:cs="Tahoma"/>
              </w:rPr>
              <w:t>Us</w:t>
            </w:r>
            <w:r w:rsidR="001F018D" w:rsidRPr="001F018D">
              <w:rPr>
                <w:rFonts w:ascii="Tahoma" w:hAnsi="Tahoma" w:cs="Tahoma"/>
              </w:rPr>
              <w:t xml:space="preserve">e </w:t>
            </w:r>
            <w:r w:rsidR="004C36A6">
              <w:rPr>
                <w:rFonts w:ascii="Tahoma" w:hAnsi="Tahoma" w:cs="Tahoma"/>
              </w:rPr>
              <w:t>tables</w:t>
            </w:r>
            <w:r w:rsidR="004C36A6" w:rsidRPr="001F018D">
              <w:rPr>
                <w:rFonts w:ascii="Tahoma" w:hAnsi="Tahoma" w:cs="Tahoma"/>
              </w:rPr>
              <w:t xml:space="preserve"> </w:t>
            </w:r>
            <w:r w:rsidR="001F018D" w:rsidRPr="001F018D">
              <w:rPr>
                <w:rFonts w:ascii="Tahoma" w:hAnsi="Tahoma" w:cs="Tahoma"/>
              </w:rPr>
              <w:t xml:space="preserve">will be published in accordance with the </w:t>
            </w:r>
            <w:hyperlink r:id="rId7" w:history="1">
              <w:r w:rsidR="001F018D" w:rsidRPr="004C36A6">
                <w:rPr>
                  <w:rStyle w:val="Hyperlink"/>
                  <w:rFonts w:ascii="Tahoma" w:hAnsi="Tahoma" w:cs="Tahoma"/>
                </w:rPr>
                <w:t>ESA 20</w:t>
              </w:r>
              <w:r w:rsidR="004C36A6" w:rsidRPr="004C36A6">
                <w:rPr>
                  <w:rStyle w:val="Hyperlink"/>
                  <w:rFonts w:ascii="Tahoma" w:hAnsi="Tahoma" w:cs="Tahoma"/>
                </w:rPr>
                <w:t>10 Transmission program of data</w:t>
              </w:r>
            </w:hyperlink>
            <w:r w:rsidR="001F018D" w:rsidRPr="001F018D">
              <w:rPr>
                <w:rFonts w:ascii="Tahoma" w:hAnsi="Tahoma" w:cs="Tahoma"/>
              </w:rPr>
              <w:t xml:space="preserve">, i.e. three years after the end of the reference period (t+36 months). </w:t>
            </w:r>
            <w:r w:rsidR="004C36A6" w:rsidRPr="004C36A6">
              <w:rPr>
                <w:rFonts w:ascii="Tahoma" w:hAnsi="Tahoma" w:cs="Tahoma"/>
              </w:rPr>
              <w:t xml:space="preserve">Thus, </w:t>
            </w:r>
            <w:r w:rsidR="00D12BC8">
              <w:rPr>
                <w:rFonts w:ascii="Tahoma" w:hAnsi="Tahoma" w:cs="Tahoma"/>
              </w:rPr>
              <w:t>SORS</w:t>
            </w:r>
            <w:r w:rsidR="004C36A6" w:rsidRPr="004C36A6">
              <w:rPr>
                <w:rFonts w:ascii="Tahoma" w:hAnsi="Tahoma" w:cs="Tahoma"/>
              </w:rPr>
              <w:t xml:space="preserve"> will follow the practice of </w:t>
            </w:r>
            <w:r w:rsidR="00D12BC8">
              <w:rPr>
                <w:rFonts w:ascii="Tahoma" w:hAnsi="Tahoma" w:cs="Tahoma"/>
              </w:rPr>
              <w:t xml:space="preserve">the </w:t>
            </w:r>
            <w:r w:rsidR="004C36A6" w:rsidRPr="004C36A6">
              <w:rPr>
                <w:rFonts w:ascii="Tahoma" w:hAnsi="Tahoma" w:cs="Tahoma"/>
              </w:rPr>
              <w:t>EU member states.</w:t>
            </w:r>
          </w:p>
          <w:p w:rsidR="004C36A6" w:rsidRPr="001F018D" w:rsidRDefault="004C36A6" w:rsidP="001F018D">
            <w:pPr>
              <w:jc w:val="both"/>
              <w:rPr>
                <w:rFonts w:ascii="Tahoma" w:hAnsi="Tahoma" w:cs="Tahoma"/>
              </w:rPr>
            </w:pPr>
          </w:p>
          <w:p w:rsidR="001F018D" w:rsidRPr="00F239C9" w:rsidRDefault="001F018D" w:rsidP="00FB4DC2">
            <w:pPr>
              <w:spacing w:after="120"/>
              <w:jc w:val="both"/>
              <w:rPr>
                <w:rFonts w:ascii="Tahoma" w:hAnsi="Tahoma" w:cs="Tahoma"/>
              </w:rPr>
            </w:pPr>
            <w:r w:rsidRPr="001F018D">
              <w:rPr>
                <w:rFonts w:ascii="Tahoma" w:hAnsi="Tahoma" w:cs="Tahoma"/>
              </w:rPr>
              <w:t>Acc</w:t>
            </w:r>
            <w:r w:rsidR="004930FB">
              <w:rPr>
                <w:rFonts w:ascii="Tahoma" w:hAnsi="Tahoma" w:cs="Tahoma"/>
              </w:rPr>
              <w:t xml:space="preserve">ordingly, the </w:t>
            </w:r>
            <w:r w:rsidR="004930FB" w:rsidRPr="00F239C9">
              <w:rPr>
                <w:rFonts w:ascii="Tahoma" w:hAnsi="Tahoma" w:cs="Tahoma"/>
              </w:rPr>
              <w:t>dissemination of A</w:t>
            </w:r>
            <w:r w:rsidRPr="00F239C9">
              <w:rPr>
                <w:rFonts w:ascii="Tahoma" w:hAnsi="Tahoma" w:cs="Tahoma"/>
              </w:rPr>
              <w:t>nnual</w:t>
            </w:r>
            <w:r w:rsidR="00FB4DC2" w:rsidRPr="00F239C9">
              <w:rPr>
                <w:rFonts w:ascii="Tahoma" w:hAnsi="Tahoma" w:cs="Tahoma"/>
              </w:rPr>
              <w:t xml:space="preserve"> </w:t>
            </w:r>
            <w:r w:rsidR="00B12B51" w:rsidRPr="00F239C9">
              <w:rPr>
                <w:rFonts w:ascii="Tahoma" w:hAnsi="Tahoma" w:cs="Tahoma"/>
              </w:rPr>
              <w:t>N</w:t>
            </w:r>
            <w:r w:rsidR="00FB4DC2" w:rsidRPr="00F239C9">
              <w:rPr>
                <w:rFonts w:ascii="Tahoma" w:hAnsi="Tahoma" w:cs="Tahoma"/>
              </w:rPr>
              <w:t>ationa</w:t>
            </w:r>
            <w:r w:rsidR="005342E2" w:rsidRPr="00F239C9">
              <w:rPr>
                <w:rFonts w:ascii="Tahoma" w:hAnsi="Tahoma" w:cs="Tahoma"/>
              </w:rPr>
              <w:t>l</w:t>
            </w:r>
            <w:r w:rsidR="00FB4DC2" w:rsidRPr="00F239C9">
              <w:rPr>
                <w:rFonts w:ascii="Tahoma" w:hAnsi="Tahoma" w:cs="Tahoma"/>
              </w:rPr>
              <w:t xml:space="preserve"> </w:t>
            </w:r>
            <w:r w:rsidR="00B12B51" w:rsidRPr="00F239C9">
              <w:rPr>
                <w:rFonts w:ascii="Tahoma" w:hAnsi="Tahoma" w:cs="Tahoma"/>
              </w:rPr>
              <w:t>A</w:t>
            </w:r>
            <w:r w:rsidR="00FB4DC2" w:rsidRPr="00F239C9">
              <w:rPr>
                <w:rFonts w:ascii="Tahoma" w:hAnsi="Tahoma" w:cs="Tahoma"/>
              </w:rPr>
              <w:t>ccounts</w:t>
            </w:r>
            <w:r w:rsidRPr="00F239C9">
              <w:rPr>
                <w:rFonts w:ascii="Tahoma" w:hAnsi="Tahoma" w:cs="Tahoma"/>
              </w:rPr>
              <w:t xml:space="preserve"> data from 01.10.</w:t>
            </w:r>
            <w:r w:rsidR="00D12BC8" w:rsidRPr="00F239C9">
              <w:rPr>
                <w:rFonts w:ascii="Tahoma" w:hAnsi="Tahoma" w:cs="Tahoma"/>
              </w:rPr>
              <w:t>2024</w:t>
            </w:r>
            <w:r w:rsidR="00FB4DC2" w:rsidRPr="00F239C9">
              <w:rPr>
                <w:rFonts w:ascii="Tahoma" w:hAnsi="Tahoma" w:cs="Tahoma"/>
              </w:rPr>
              <w:t xml:space="preserve"> </w:t>
            </w:r>
            <w:r w:rsidRPr="00F239C9">
              <w:rPr>
                <w:rFonts w:ascii="Tahoma" w:hAnsi="Tahoma" w:cs="Tahoma"/>
              </w:rPr>
              <w:t>will be carried out according to the following schedule:</w:t>
            </w:r>
          </w:p>
          <w:p w:rsidR="00FB4DC2" w:rsidRPr="00F239C9" w:rsidRDefault="00D12BC8" w:rsidP="00FB4DC2">
            <w:pPr>
              <w:pStyle w:val="ListParagraph"/>
              <w:numPr>
                <w:ilvl w:val="0"/>
                <w:numId w:val="2"/>
              </w:numPr>
              <w:spacing w:after="60"/>
              <w:contextualSpacing w:val="0"/>
              <w:jc w:val="both"/>
              <w:rPr>
                <w:rFonts w:ascii="Tahoma" w:hAnsi="Tahoma" w:cs="Tahoma"/>
              </w:rPr>
            </w:pPr>
            <w:r w:rsidRPr="00F239C9">
              <w:rPr>
                <w:rFonts w:ascii="Tahoma" w:hAnsi="Tahoma" w:cs="Tahoma"/>
              </w:rPr>
              <w:t>2</w:t>
            </w:r>
            <w:r w:rsidR="001F018D" w:rsidRPr="00F239C9">
              <w:rPr>
                <w:rFonts w:ascii="Tahoma" w:hAnsi="Tahoma" w:cs="Tahoma"/>
              </w:rPr>
              <w:t xml:space="preserve"> months after the end of the</w:t>
            </w:r>
            <w:r w:rsidR="00C532B3" w:rsidRPr="00F239C9">
              <w:rPr>
                <w:rFonts w:ascii="Tahoma" w:hAnsi="Tahoma" w:cs="Tahoma"/>
              </w:rPr>
              <w:t xml:space="preserve"> reference</w:t>
            </w:r>
            <w:r w:rsidR="001F018D" w:rsidRPr="00F239C9">
              <w:rPr>
                <w:rFonts w:ascii="Tahoma" w:hAnsi="Tahoma" w:cs="Tahoma"/>
              </w:rPr>
              <w:t xml:space="preserve"> year (t+2 months) –</w:t>
            </w:r>
            <w:r w:rsidR="005963E5" w:rsidRPr="00F239C9">
              <w:rPr>
                <w:rFonts w:ascii="Tahoma" w:hAnsi="Tahoma" w:cs="Tahoma"/>
              </w:rPr>
              <w:t xml:space="preserve"> </w:t>
            </w:r>
            <w:r w:rsidR="002A087D" w:rsidRPr="00F239C9">
              <w:rPr>
                <w:rFonts w:ascii="Tahoma" w:hAnsi="Tahoma" w:cs="Tahoma"/>
              </w:rPr>
              <w:t>a</w:t>
            </w:r>
            <w:r w:rsidR="001F018D" w:rsidRPr="00F239C9">
              <w:rPr>
                <w:rFonts w:ascii="Tahoma" w:hAnsi="Tahoma" w:cs="Tahoma"/>
              </w:rPr>
              <w:t xml:space="preserve">nnual data </w:t>
            </w:r>
            <w:r w:rsidR="00B12B51" w:rsidRPr="00F239C9">
              <w:rPr>
                <w:rFonts w:ascii="Tahoma" w:hAnsi="Tahoma" w:cs="Tahoma"/>
              </w:rPr>
              <w:t xml:space="preserve">(estimates) </w:t>
            </w:r>
            <w:r w:rsidR="001F018D" w:rsidRPr="00F239C9">
              <w:rPr>
                <w:rFonts w:ascii="Tahoma" w:hAnsi="Tahoma" w:cs="Tahoma"/>
              </w:rPr>
              <w:t>as the sum of four quarters;</w:t>
            </w:r>
          </w:p>
          <w:p w:rsidR="001F018D" w:rsidRPr="00F239C9" w:rsidRDefault="00D12BC8" w:rsidP="00FB4DC2">
            <w:pPr>
              <w:pStyle w:val="ListParagraph"/>
              <w:numPr>
                <w:ilvl w:val="0"/>
                <w:numId w:val="1"/>
              </w:numPr>
              <w:spacing w:before="60" w:after="60"/>
              <w:contextualSpacing w:val="0"/>
              <w:jc w:val="both"/>
              <w:rPr>
                <w:rFonts w:ascii="Tahoma" w:hAnsi="Tahoma" w:cs="Tahoma"/>
              </w:rPr>
            </w:pPr>
            <w:r w:rsidRPr="00F239C9">
              <w:rPr>
                <w:rFonts w:ascii="Tahoma" w:hAnsi="Tahoma" w:cs="Tahoma"/>
              </w:rPr>
              <w:t>9</w:t>
            </w:r>
            <w:r w:rsidR="001F018D" w:rsidRPr="00F239C9">
              <w:rPr>
                <w:rFonts w:ascii="Tahoma" w:hAnsi="Tahoma" w:cs="Tahoma"/>
              </w:rPr>
              <w:t xml:space="preserve"> months after the end of the</w:t>
            </w:r>
            <w:r w:rsidR="00C532B3" w:rsidRPr="00F239C9">
              <w:rPr>
                <w:rFonts w:ascii="Tahoma" w:hAnsi="Tahoma" w:cs="Tahoma"/>
              </w:rPr>
              <w:t xml:space="preserve"> reference</w:t>
            </w:r>
            <w:r w:rsidR="001F018D" w:rsidRPr="00F239C9">
              <w:rPr>
                <w:rFonts w:ascii="Tahoma" w:hAnsi="Tahoma" w:cs="Tahoma"/>
              </w:rPr>
              <w:t xml:space="preserve"> year (t+9 months) – the first preliminary results of the </w:t>
            </w:r>
            <w:r w:rsidR="005963E5" w:rsidRPr="00F239C9">
              <w:rPr>
                <w:rFonts w:ascii="Tahoma" w:hAnsi="Tahoma" w:cs="Tahoma"/>
              </w:rPr>
              <w:t>A</w:t>
            </w:r>
            <w:r w:rsidR="00FB4DC2" w:rsidRPr="00F239C9">
              <w:rPr>
                <w:rFonts w:ascii="Tahoma" w:hAnsi="Tahoma" w:cs="Tahoma"/>
              </w:rPr>
              <w:t xml:space="preserve">nnual </w:t>
            </w:r>
            <w:r w:rsidR="00B12B51" w:rsidRPr="00F239C9">
              <w:rPr>
                <w:rFonts w:ascii="Tahoma" w:hAnsi="Tahoma" w:cs="Tahoma"/>
              </w:rPr>
              <w:t>National Accounts</w:t>
            </w:r>
            <w:r w:rsidR="001F018D" w:rsidRPr="00F239C9">
              <w:rPr>
                <w:rFonts w:ascii="Tahoma" w:hAnsi="Tahoma" w:cs="Tahoma"/>
              </w:rPr>
              <w:t>;</w:t>
            </w:r>
          </w:p>
          <w:p w:rsidR="001F018D" w:rsidRPr="00F239C9" w:rsidRDefault="001F018D" w:rsidP="00FB4DC2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ahoma" w:hAnsi="Tahoma" w:cs="Tahoma"/>
              </w:rPr>
            </w:pPr>
            <w:r w:rsidRPr="00F239C9">
              <w:rPr>
                <w:rFonts w:ascii="Tahoma" w:hAnsi="Tahoma" w:cs="Tahoma"/>
              </w:rPr>
              <w:t xml:space="preserve">21 months after the end of the </w:t>
            </w:r>
            <w:r w:rsidR="00C532B3" w:rsidRPr="00F239C9">
              <w:rPr>
                <w:rFonts w:ascii="Tahoma" w:hAnsi="Tahoma" w:cs="Tahoma"/>
              </w:rPr>
              <w:t xml:space="preserve">reference </w:t>
            </w:r>
            <w:r w:rsidRPr="00F239C9">
              <w:rPr>
                <w:rFonts w:ascii="Tahoma" w:hAnsi="Tahoma" w:cs="Tahoma"/>
              </w:rPr>
              <w:t xml:space="preserve">year (t+21 months) – </w:t>
            </w:r>
            <w:r w:rsidR="0052203B" w:rsidRPr="006F2730">
              <w:rPr>
                <w:rFonts w:ascii="Tahoma" w:hAnsi="Tahoma" w:cs="Tahoma"/>
              </w:rPr>
              <w:t>the</w:t>
            </w:r>
            <w:r w:rsidRPr="006F2730">
              <w:rPr>
                <w:rFonts w:ascii="Tahoma" w:hAnsi="Tahoma" w:cs="Tahoma"/>
              </w:rPr>
              <w:t xml:space="preserve"> </w:t>
            </w:r>
            <w:r w:rsidR="0052203B" w:rsidRPr="006F2730">
              <w:rPr>
                <w:rFonts w:ascii="Tahoma" w:hAnsi="Tahoma" w:cs="Tahoma"/>
              </w:rPr>
              <w:t>second</w:t>
            </w:r>
            <w:r w:rsidR="0052203B">
              <w:rPr>
                <w:rFonts w:ascii="Tahoma" w:hAnsi="Tahoma" w:cs="Tahoma"/>
              </w:rPr>
              <w:t xml:space="preserve"> </w:t>
            </w:r>
            <w:r w:rsidRPr="00F239C9">
              <w:rPr>
                <w:rFonts w:ascii="Tahoma" w:hAnsi="Tahoma" w:cs="Tahoma"/>
              </w:rPr>
              <w:t>pr</w:t>
            </w:r>
            <w:r w:rsidR="005963E5" w:rsidRPr="00F239C9">
              <w:rPr>
                <w:rFonts w:ascii="Tahoma" w:hAnsi="Tahoma" w:cs="Tahoma"/>
              </w:rPr>
              <w:t>eliminary results of the A</w:t>
            </w:r>
            <w:r w:rsidR="00B12B51" w:rsidRPr="00F239C9">
              <w:rPr>
                <w:rFonts w:ascii="Tahoma" w:hAnsi="Tahoma" w:cs="Tahoma"/>
              </w:rPr>
              <w:t>nnual National Accounts</w:t>
            </w:r>
            <w:r w:rsidRPr="00F239C9">
              <w:rPr>
                <w:rFonts w:ascii="Tahoma" w:hAnsi="Tahoma" w:cs="Tahoma"/>
              </w:rPr>
              <w:t>;</w:t>
            </w:r>
          </w:p>
          <w:p w:rsidR="001F018D" w:rsidRPr="001F018D" w:rsidRDefault="001F018D" w:rsidP="00FB4DC2">
            <w:pPr>
              <w:pStyle w:val="ListParagraph"/>
              <w:numPr>
                <w:ilvl w:val="0"/>
                <w:numId w:val="2"/>
              </w:numPr>
              <w:spacing w:afterLines="60" w:after="144"/>
              <w:jc w:val="both"/>
              <w:rPr>
                <w:rFonts w:ascii="Tahoma" w:hAnsi="Tahoma" w:cs="Tahoma"/>
              </w:rPr>
            </w:pPr>
            <w:r w:rsidRPr="00F239C9">
              <w:rPr>
                <w:rFonts w:ascii="Tahoma" w:hAnsi="Tahoma" w:cs="Tahoma"/>
              </w:rPr>
              <w:t xml:space="preserve">33 months after the end of the </w:t>
            </w:r>
            <w:r w:rsidR="00C532B3" w:rsidRPr="00F239C9">
              <w:rPr>
                <w:rFonts w:ascii="Tahoma" w:hAnsi="Tahoma" w:cs="Tahoma"/>
              </w:rPr>
              <w:t xml:space="preserve">reference </w:t>
            </w:r>
            <w:r w:rsidRPr="00F239C9">
              <w:rPr>
                <w:rFonts w:ascii="Tahoma" w:hAnsi="Tahoma" w:cs="Tahoma"/>
              </w:rPr>
              <w:t xml:space="preserve">year (t+33 months) – </w:t>
            </w:r>
            <w:r w:rsidR="007C4E2E" w:rsidRPr="00F239C9">
              <w:rPr>
                <w:rFonts w:ascii="Tahoma" w:hAnsi="Tahoma" w:cs="Tahoma"/>
              </w:rPr>
              <w:t xml:space="preserve">the </w:t>
            </w:r>
            <w:proofErr w:type="gramStart"/>
            <w:r w:rsidRPr="00F239C9">
              <w:rPr>
                <w:rFonts w:ascii="Tahoma" w:hAnsi="Tahoma" w:cs="Tahoma"/>
              </w:rPr>
              <w:t>final</w:t>
            </w:r>
            <w:r w:rsidR="00286DCD" w:rsidRPr="00F239C9">
              <w:rPr>
                <w:rFonts w:ascii="Tahoma" w:hAnsi="Tahoma" w:cs="Tahoma"/>
              </w:rPr>
              <w:t xml:space="preserve"> </w:t>
            </w:r>
            <w:r w:rsidR="004930FB" w:rsidRPr="00F239C9">
              <w:rPr>
                <w:rFonts w:ascii="Tahoma" w:hAnsi="Tahoma" w:cs="Tahoma"/>
              </w:rPr>
              <w:t>results</w:t>
            </w:r>
            <w:proofErr w:type="gramEnd"/>
            <w:r w:rsidR="004930FB" w:rsidRPr="00F239C9">
              <w:rPr>
                <w:rFonts w:ascii="Tahoma" w:hAnsi="Tahoma" w:cs="Tahoma"/>
              </w:rPr>
              <w:t xml:space="preserve"> of the A</w:t>
            </w:r>
            <w:r w:rsidRPr="00F239C9">
              <w:rPr>
                <w:rFonts w:ascii="Tahoma" w:hAnsi="Tahoma" w:cs="Tahoma"/>
              </w:rPr>
              <w:t xml:space="preserve">nnual </w:t>
            </w:r>
            <w:r w:rsidR="00B12B51" w:rsidRPr="00F239C9">
              <w:rPr>
                <w:rFonts w:ascii="Tahoma" w:hAnsi="Tahoma" w:cs="Tahoma"/>
              </w:rPr>
              <w:t>National Accounts</w:t>
            </w:r>
            <w:r w:rsidRPr="00F239C9">
              <w:rPr>
                <w:rFonts w:ascii="Tahoma" w:hAnsi="Tahoma" w:cs="Tahoma"/>
              </w:rPr>
              <w:t xml:space="preserve"> </w:t>
            </w:r>
            <w:r w:rsidR="00FB4DC2" w:rsidRPr="00F239C9">
              <w:rPr>
                <w:rFonts w:ascii="Tahoma" w:hAnsi="Tahoma" w:cs="Tahoma"/>
              </w:rPr>
              <w:t>aligned</w:t>
            </w:r>
            <w:r w:rsidR="00B12B51">
              <w:rPr>
                <w:rFonts w:ascii="Tahoma" w:hAnsi="Tahoma" w:cs="Tahoma"/>
              </w:rPr>
              <w:t xml:space="preserve"> with </w:t>
            </w:r>
            <w:r w:rsidRPr="001F018D">
              <w:rPr>
                <w:rFonts w:ascii="Tahoma" w:hAnsi="Tahoma" w:cs="Tahoma"/>
              </w:rPr>
              <w:t xml:space="preserve">the </w:t>
            </w:r>
            <w:r w:rsidR="00B12B51">
              <w:rPr>
                <w:rFonts w:ascii="Tahoma" w:hAnsi="Tahoma" w:cs="Tahoma"/>
              </w:rPr>
              <w:t>S</w:t>
            </w:r>
            <w:r w:rsidRPr="001F018D">
              <w:rPr>
                <w:rFonts w:ascii="Tahoma" w:hAnsi="Tahoma" w:cs="Tahoma"/>
              </w:rPr>
              <w:t xml:space="preserve">upply and </w:t>
            </w:r>
            <w:r w:rsidR="00B12B51">
              <w:rPr>
                <w:rFonts w:ascii="Tahoma" w:hAnsi="Tahoma" w:cs="Tahoma"/>
              </w:rPr>
              <w:t>U</w:t>
            </w:r>
            <w:r w:rsidRPr="001F018D">
              <w:rPr>
                <w:rFonts w:ascii="Tahoma" w:hAnsi="Tahoma" w:cs="Tahoma"/>
              </w:rPr>
              <w:t>se tables.</w:t>
            </w: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F239C9" w:rsidRDefault="00F239C9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F239C9" w:rsidRPr="008773F4" w:rsidRDefault="00F239C9" w:rsidP="008773F4">
            <w:pPr>
              <w:jc w:val="both"/>
              <w:rPr>
                <w:rFonts w:ascii="Tahoma" w:hAnsi="Tahoma" w:cs="Tahoma"/>
                <w:lang w:val="sr-Cyrl-CS"/>
              </w:rPr>
            </w:pPr>
            <w:bookmarkStart w:id="0" w:name="_GoBack"/>
            <w:bookmarkEnd w:id="0"/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F239C9" w:rsidRPr="008773F4" w:rsidRDefault="00F239C9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4"/>
              <w:gridCol w:w="4925"/>
            </w:tblGrid>
            <w:tr w:rsidR="001249CF" w:rsidRPr="008773F4" w:rsidTr="008773F4">
              <w:tc>
                <w:tcPr>
                  <w:tcW w:w="5032" w:type="dxa"/>
                  <w:shd w:val="clear" w:color="auto" w:fill="auto"/>
                </w:tcPr>
                <w:p w:rsidR="001249CF" w:rsidRPr="008773F4" w:rsidRDefault="001249CF" w:rsidP="008562B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9C2F7D" w:rsidRPr="008773F4" w:rsidRDefault="009C2F7D" w:rsidP="008562B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562BC" w:rsidRPr="008773F4" w:rsidRDefault="008562BC" w:rsidP="008562BC">
                  <w:pPr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5033" w:type="dxa"/>
                  <w:shd w:val="clear" w:color="auto" w:fill="auto"/>
                </w:tcPr>
                <w:p w:rsidR="001249CF" w:rsidRPr="008773F4" w:rsidRDefault="001249CF" w:rsidP="008773F4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</w:pPr>
                  <w:r w:rsidRPr="008773F4">
                    <w:rPr>
                      <w:rFonts w:ascii="Tahoma" w:hAnsi="Tahoma" w:cs="Tahoma"/>
                      <w:sz w:val="20"/>
                      <w:szCs w:val="20"/>
                      <w:lang w:val="sr-Cyrl-CS"/>
                    </w:rPr>
                    <w:t xml:space="preserve">    </w:t>
                  </w:r>
                </w:p>
              </w:tc>
            </w:tr>
          </w:tbl>
          <w:p w:rsidR="0078106D" w:rsidRPr="008773F4" w:rsidRDefault="0078106D" w:rsidP="008773F4">
            <w:pPr>
              <w:jc w:val="both"/>
              <w:rPr>
                <w:rFonts w:ascii="Tahoma" w:hAnsi="Tahoma" w:cs="Tahoma"/>
                <w:lang w:val="sr-Cyrl-CS"/>
              </w:rPr>
            </w:pPr>
          </w:p>
        </w:tc>
      </w:tr>
    </w:tbl>
    <w:p w:rsidR="007E0B11" w:rsidRPr="007E0B11" w:rsidRDefault="007E0B11" w:rsidP="0078106D">
      <w:pPr>
        <w:rPr>
          <w:lang w:val="sr-Cyrl-CS"/>
        </w:rPr>
      </w:pPr>
    </w:p>
    <w:sectPr w:rsidR="007E0B11" w:rsidRPr="007E0B11" w:rsidSect="00692DD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851" w:header="431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32" w:rsidRDefault="00AC1332">
      <w:r>
        <w:separator/>
      </w:r>
    </w:p>
  </w:endnote>
  <w:endnote w:type="continuationSeparator" w:id="0">
    <w:p w:rsidR="00AC1332" w:rsidRDefault="00A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760"/>
      <w:gridCol w:w="5400"/>
    </w:tblGrid>
    <w:tr w:rsidR="00692DDE" w:rsidRPr="008773F4" w:rsidTr="00ED052A">
      <w:tc>
        <w:tcPr>
          <w:tcW w:w="5760" w:type="dxa"/>
          <w:shd w:val="clear" w:color="auto" w:fill="auto"/>
        </w:tcPr>
        <w:p w:rsidR="00692DDE" w:rsidRPr="008773F4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Contact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:</w:t>
          </w:r>
        </w:p>
        <w:p w:rsidR="00692DDE" w:rsidRPr="00692DDE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proofErr w:type="spellStart"/>
          <w:r w:rsidRPr="00692DDE">
            <w:rPr>
              <w:rFonts w:ascii="Tahoma" w:hAnsi="Tahoma" w:cs="Tahoma"/>
              <w:sz w:val="20"/>
              <w:szCs w:val="20"/>
            </w:rPr>
            <w:t>Dušan</w:t>
          </w:r>
          <w:proofErr w:type="spellEnd"/>
          <w:r w:rsidRPr="00692DDE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692DDE">
            <w:rPr>
              <w:rFonts w:ascii="Tahoma" w:hAnsi="Tahoma" w:cs="Tahoma"/>
              <w:sz w:val="20"/>
              <w:szCs w:val="20"/>
            </w:rPr>
            <w:t>Gavrilović</w:t>
          </w:r>
          <w:proofErr w:type="spellEnd"/>
          <w:r w:rsidRPr="00692DDE">
            <w:rPr>
              <w:rFonts w:ascii="Tahoma" w:hAnsi="Tahoma" w:cs="Tahoma"/>
              <w:sz w:val="20"/>
              <w:szCs w:val="20"/>
            </w:rPr>
            <w:t xml:space="preserve">, Assistant </w:t>
          </w:r>
          <w:proofErr w:type="spellStart"/>
          <w:r w:rsidRPr="00692DDE">
            <w:rPr>
              <w:rFonts w:ascii="Tahoma" w:hAnsi="Tahoma" w:cs="Tahoma"/>
              <w:sz w:val="20"/>
              <w:szCs w:val="20"/>
            </w:rPr>
            <w:t>Director</w:t>
          </w:r>
          <w:r w:rsidRPr="008773F4">
            <w:rPr>
              <w:rFonts w:ascii="Tahoma" w:hAnsi="Tahoma" w:cs="Tahoma"/>
              <w:sz w:val="20"/>
              <w:szCs w:val="20"/>
            </w:rPr>
            <w:t>Phone</w:t>
          </w:r>
          <w:proofErr w:type="spellEnd"/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 xml:space="preserve">: </w:t>
          </w:r>
          <w:r w:rsidRPr="00692DDE">
            <w:rPr>
              <w:rFonts w:ascii="Tahoma" w:hAnsi="Tahoma" w:cs="Tahoma"/>
              <w:sz w:val="20"/>
              <w:szCs w:val="20"/>
              <w:lang w:val="sr-Cyrl-CS"/>
            </w:rPr>
            <w:t>+381 11 2412-922, локал 381</w:t>
          </w:r>
        </w:p>
        <w:p w:rsidR="00692DDE" w:rsidRDefault="006F2730" w:rsidP="00692DDE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hyperlink r:id="rId1" w:history="1">
            <w:r w:rsidR="00692DDE" w:rsidRPr="00534171">
              <w:rPr>
                <w:rStyle w:val="Hyperlink"/>
                <w:rFonts w:ascii="Tahoma" w:hAnsi="Tahoma" w:cs="Tahoma"/>
                <w:sz w:val="20"/>
                <w:szCs w:val="20"/>
                <w:lang w:val="sr-Cyrl-CS"/>
              </w:rPr>
              <w:t>dusan.gavrilovic@stat.gov.rs</w:t>
            </w:r>
          </w:hyperlink>
        </w:p>
        <w:p w:rsidR="00692DDE" w:rsidRPr="008773F4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</w:p>
        <w:p w:rsidR="00692DDE" w:rsidRPr="008773F4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D66E6E">
            <w:rPr>
              <w:rFonts w:ascii="Tahoma" w:hAnsi="Tahoma" w:cs="Tahoma"/>
              <w:sz w:val="20"/>
              <w:szCs w:val="20"/>
            </w:rPr>
            <w:t>Communication and information division</w:t>
          </w:r>
        </w:p>
        <w:p w:rsidR="00692DDE" w:rsidRPr="008773F4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Phone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: +381 11 2401-284</w:t>
          </w:r>
        </w:p>
        <w:p w:rsidR="00692DDE" w:rsidRPr="008773F4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stat</w:t>
          </w:r>
          <w:r w:rsidRPr="008773F4">
            <w:rPr>
              <w:rFonts w:ascii="Tahoma" w:hAnsi="Tahoma" w:cs="Tahoma"/>
              <w:sz w:val="20"/>
              <w:szCs w:val="20"/>
              <w:lang w:val="ru-RU"/>
            </w:rPr>
            <w:t>@</w:t>
          </w:r>
          <w:r w:rsidRPr="008773F4">
            <w:rPr>
              <w:rFonts w:ascii="Tahoma" w:hAnsi="Tahoma" w:cs="Tahoma"/>
              <w:sz w:val="20"/>
              <w:szCs w:val="20"/>
            </w:rPr>
            <w:t>stat</w:t>
          </w:r>
          <w:r w:rsidRPr="008773F4">
            <w:rPr>
              <w:rFonts w:ascii="Tahoma" w:hAnsi="Tahoma" w:cs="Tahoma"/>
              <w:sz w:val="20"/>
              <w:szCs w:val="20"/>
              <w:lang w:val="ru-RU"/>
            </w:rPr>
            <w:t>.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8773F4">
            <w:rPr>
              <w:rFonts w:ascii="Tahoma" w:hAnsi="Tahoma" w:cs="Tahoma"/>
              <w:sz w:val="20"/>
              <w:szCs w:val="20"/>
              <w:lang w:val="ru-RU"/>
            </w:rPr>
            <w:t>.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692DDE" w:rsidRPr="008773F4" w:rsidRDefault="00692DDE" w:rsidP="00692DDE">
          <w:pPr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692DDE" w:rsidRPr="008773F4" w:rsidRDefault="00692DDE" w:rsidP="00692DDE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 xml:space="preserve">       Director</w:t>
          </w:r>
        </w:p>
        <w:p w:rsidR="00692DDE" w:rsidRPr="008773F4" w:rsidRDefault="00692DDE" w:rsidP="00692DDE">
          <w:pPr>
            <w:jc w:val="center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 xml:space="preserve">      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Dr</w:t>
          </w:r>
          <w:proofErr w:type="spellEnd"/>
          <w:r w:rsidRPr="008773F4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Miladin</w:t>
          </w:r>
          <w:proofErr w:type="spellEnd"/>
          <w:r w:rsidRPr="008773F4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Kovačević</w:t>
          </w:r>
          <w:proofErr w:type="spellEnd"/>
        </w:p>
        <w:p w:rsidR="00692DDE" w:rsidRPr="008773F4" w:rsidRDefault="00692DDE" w:rsidP="00692DDE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692DDE" w:rsidRDefault="00692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406C92" w:rsidRPr="008773F4" w:rsidTr="008773F4">
      <w:tc>
        <w:tcPr>
          <w:tcW w:w="4788" w:type="dxa"/>
          <w:shd w:val="clear" w:color="auto" w:fill="auto"/>
        </w:tcPr>
        <w:p w:rsidR="00406C92" w:rsidRPr="008773F4" w:rsidRDefault="00406C92" w:rsidP="008773F4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406C92" w:rsidRPr="008773F4" w:rsidRDefault="00406C92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406C92" w:rsidRPr="008773F4" w:rsidTr="008773F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350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6C92" w:rsidRPr="008773F4" w:rsidRDefault="00406C92" w:rsidP="008773F4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6C92" w:rsidRPr="008773F4" w:rsidRDefault="00406C92" w:rsidP="008773F4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406C92" w:rsidRPr="00777121" w:rsidRDefault="00406C92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32" w:rsidRDefault="00AC1332">
      <w:r>
        <w:separator/>
      </w:r>
    </w:p>
  </w:footnote>
  <w:footnote w:type="continuationSeparator" w:id="0">
    <w:p w:rsidR="00AC1332" w:rsidRDefault="00AC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406C92" w:rsidRPr="008773F4" w:rsidTr="008773F4">
      <w:tc>
        <w:tcPr>
          <w:tcW w:w="3708" w:type="dxa"/>
          <w:shd w:val="clear" w:color="auto" w:fill="auto"/>
        </w:tcPr>
        <w:p w:rsidR="00406C92" w:rsidRPr="008773F4" w:rsidRDefault="00406C92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Press release page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8773F4">
            <w:rPr>
              <w:rStyle w:val="PageNumber"/>
              <w:rFonts w:ascii="Tahoma" w:hAnsi="Tahoma" w:cs="Tahoma"/>
              <w:sz w:val="20"/>
              <w:szCs w:val="20"/>
            </w:rPr>
            <w:fldChar w:fldCharType="begin"/>
          </w:r>
          <w:r w:rsidRPr="008773F4">
            <w:rPr>
              <w:rStyle w:val="PageNumber"/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8773F4">
            <w:rPr>
              <w:rStyle w:val="PageNumber"/>
              <w:rFonts w:ascii="Tahoma" w:hAnsi="Tahoma" w:cs="Tahoma"/>
              <w:sz w:val="20"/>
              <w:szCs w:val="20"/>
            </w:rPr>
            <w:fldChar w:fldCharType="separate"/>
          </w:r>
          <w:r w:rsidR="00F239C9">
            <w:rPr>
              <w:rStyle w:val="PageNumber"/>
              <w:rFonts w:ascii="Tahoma" w:hAnsi="Tahoma" w:cs="Tahoma"/>
              <w:noProof/>
              <w:sz w:val="20"/>
              <w:szCs w:val="20"/>
            </w:rPr>
            <w:t>3</w:t>
          </w:r>
          <w:r w:rsidRPr="008773F4">
            <w:rPr>
              <w:rStyle w:val="PageNumber"/>
              <w:rFonts w:ascii="Tahoma" w:hAnsi="Tahoma" w:cs="Tahoma"/>
              <w:sz w:val="20"/>
              <w:szCs w:val="20"/>
            </w:rPr>
            <w:fldChar w:fldCharType="end"/>
          </w:r>
        </w:p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406C92" w:rsidRPr="00550E46" w:rsidRDefault="00406C92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68"/>
      <w:gridCol w:w="6120"/>
    </w:tblGrid>
    <w:tr w:rsidR="00406C92" w:rsidRPr="008773F4" w:rsidTr="008773F4">
      <w:tc>
        <w:tcPr>
          <w:tcW w:w="4068" w:type="dxa"/>
          <w:shd w:val="clear" w:color="auto" w:fill="auto"/>
        </w:tcPr>
        <w:p w:rsidR="00406C92" w:rsidRPr="008773F4" w:rsidRDefault="00A7603A" w:rsidP="008773F4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5A5B1E7D" wp14:editId="74AD794C">
                <wp:simplePos x="0" y="0"/>
                <wp:positionH relativeFrom="column">
                  <wp:posOffset>-7620</wp:posOffset>
                </wp:positionH>
                <wp:positionV relativeFrom="paragraph">
                  <wp:posOffset>64135</wp:posOffset>
                </wp:positionV>
                <wp:extent cx="1480820" cy="522605"/>
                <wp:effectExtent l="0" t="0" r="0" b="0"/>
                <wp:wrapThrough wrapText="bothSides">
                  <wp:wrapPolygon edited="0">
                    <wp:start x="0" y="2362"/>
                    <wp:lineTo x="0" y="8661"/>
                    <wp:lineTo x="1111" y="16535"/>
                    <wp:lineTo x="1945" y="18109"/>
                    <wp:lineTo x="19173" y="18109"/>
                    <wp:lineTo x="19729" y="4724"/>
                    <wp:lineTo x="18062" y="3937"/>
                    <wp:lineTo x="1667" y="2362"/>
                    <wp:lineTo x="0" y="2362"/>
                  </wp:wrapPolygon>
                </wp:wrapThrough>
                <wp:docPr id="2" name="Picture 2" descr="LogoVektorskiP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VektorskiPlav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99"/>
                        <a:stretch/>
                      </pic:blipFill>
                      <pic:spPr bwMode="auto">
                        <a:xfrm>
                          <a:off x="0" y="0"/>
                          <a:ext cx="148082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82418" w:rsidRDefault="00982418" w:rsidP="00520691">
          <w:pPr>
            <w:pStyle w:val="Header"/>
            <w:rPr>
              <w:rFonts w:ascii="Tahoma" w:hAnsi="Tahoma" w:cs="Tahoma"/>
              <w:sz w:val="20"/>
              <w:szCs w:val="20"/>
            </w:rPr>
          </w:pPr>
        </w:p>
        <w:p w:rsidR="00982418" w:rsidRDefault="00982418" w:rsidP="00520691">
          <w:pPr>
            <w:pStyle w:val="Header"/>
            <w:rPr>
              <w:rFonts w:ascii="Tahoma" w:hAnsi="Tahoma" w:cs="Tahoma"/>
              <w:sz w:val="20"/>
              <w:szCs w:val="20"/>
            </w:rPr>
          </w:pPr>
        </w:p>
        <w:p w:rsidR="008E2826" w:rsidRPr="008773F4" w:rsidRDefault="00A7603A" w:rsidP="009655BF">
          <w:pPr>
            <w:pStyle w:val="Header"/>
            <w:spacing w:before="120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                     </w:t>
          </w:r>
          <w:r w:rsidR="00406C92" w:rsidRPr="008773F4">
            <w:rPr>
              <w:rFonts w:ascii="Tahoma" w:hAnsi="Tahoma" w:cs="Tahoma"/>
              <w:sz w:val="20"/>
              <w:szCs w:val="20"/>
            </w:rPr>
            <w:t>Statistical Office of the Republic of Serbia</w:t>
          </w:r>
        </w:p>
      </w:tc>
      <w:tc>
        <w:tcPr>
          <w:tcW w:w="6120" w:type="dxa"/>
          <w:shd w:val="clear" w:color="auto" w:fill="auto"/>
        </w:tcPr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Belgrade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8773F4">
            <w:rPr>
              <w:rFonts w:ascii="Tahoma" w:hAnsi="Tahoma" w:cs="Tahoma"/>
              <w:sz w:val="20"/>
              <w:szCs w:val="20"/>
            </w:rPr>
            <w:t xml:space="preserve">Milana 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Phone +381 11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www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8773F4">
            <w:rPr>
              <w:rFonts w:ascii="Tahoma" w:hAnsi="Tahoma" w:cs="Tahoma"/>
              <w:sz w:val="20"/>
              <w:szCs w:val="20"/>
            </w:rPr>
            <w:t>stat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406C92" w:rsidRPr="008773F4" w:rsidRDefault="00406C92" w:rsidP="008773F4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8773F4">
            <w:rPr>
              <w:rFonts w:ascii="Tahoma" w:hAnsi="Tahoma" w:cs="Tahoma"/>
              <w:sz w:val="20"/>
              <w:szCs w:val="20"/>
            </w:rPr>
            <w:t>stat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8773F4">
            <w:rPr>
              <w:rFonts w:ascii="Tahoma" w:hAnsi="Tahoma" w:cs="Tahoma"/>
              <w:sz w:val="20"/>
              <w:szCs w:val="20"/>
            </w:rPr>
            <w:t>stat</w:t>
          </w:r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8773F4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8773F4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406C92" w:rsidRPr="00E863C5" w:rsidRDefault="00406C9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7C"/>
    <w:multiLevelType w:val="hybridMultilevel"/>
    <w:tmpl w:val="ECB0BA72"/>
    <w:lvl w:ilvl="0" w:tplc="140EBF5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2F41"/>
    <w:multiLevelType w:val="hybridMultilevel"/>
    <w:tmpl w:val="2B2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20D52"/>
    <w:rsid w:val="0003036B"/>
    <w:rsid w:val="00036D9C"/>
    <w:rsid w:val="00044B1D"/>
    <w:rsid w:val="0007633C"/>
    <w:rsid w:val="000953D0"/>
    <w:rsid w:val="000C0EED"/>
    <w:rsid w:val="000C439D"/>
    <w:rsid w:val="000D591C"/>
    <w:rsid w:val="001249CF"/>
    <w:rsid w:val="00137A01"/>
    <w:rsid w:val="00141BB1"/>
    <w:rsid w:val="00141F19"/>
    <w:rsid w:val="001435E7"/>
    <w:rsid w:val="001A23BF"/>
    <w:rsid w:val="001A2F99"/>
    <w:rsid w:val="001B4184"/>
    <w:rsid w:val="001C0CEB"/>
    <w:rsid w:val="001D2D4D"/>
    <w:rsid w:val="001F018D"/>
    <w:rsid w:val="001F19B9"/>
    <w:rsid w:val="00202B4C"/>
    <w:rsid w:val="002175E7"/>
    <w:rsid w:val="00225361"/>
    <w:rsid w:val="0023175D"/>
    <w:rsid w:val="00256DEF"/>
    <w:rsid w:val="00257C36"/>
    <w:rsid w:val="00271B88"/>
    <w:rsid w:val="0027682D"/>
    <w:rsid w:val="00286DCD"/>
    <w:rsid w:val="002974AD"/>
    <w:rsid w:val="002A087D"/>
    <w:rsid w:val="002A1440"/>
    <w:rsid w:val="002C0BFC"/>
    <w:rsid w:val="003031B6"/>
    <w:rsid w:val="00304476"/>
    <w:rsid w:val="0032339F"/>
    <w:rsid w:val="00342AF7"/>
    <w:rsid w:val="00365C1F"/>
    <w:rsid w:val="00366796"/>
    <w:rsid w:val="00381B1C"/>
    <w:rsid w:val="0039267E"/>
    <w:rsid w:val="003A28B5"/>
    <w:rsid w:val="003B0441"/>
    <w:rsid w:val="003C03A3"/>
    <w:rsid w:val="003C3808"/>
    <w:rsid w:val="003D67D5"/>
    <w:rsid w:val="0040366C"/>
    <w:rsid w:val="00403B02"/>
    <w:rsid w:val="00403CB3"/>
    <w:rsid w:val="00406C92"/>
    <w:rsid w:val="00424CF7"/>
    <w:rsid w:val="00433E72"/>
    <w:rsid w:val="00487B95"/>
    <w:rsid w:val="004930FB"/>
    <w:rsid w:val="00496C4D"/>
    <w:rsid w:val="004B19F2"/>
    <w:rsid w:val="004B7221"/>
    <w:rsid w:val="004C36A6"/>
    <w:rsid w:val="00512793"/>
    <w:rsid w:val="00520691"/>
    <w:rsid w:val="0052203B"/>
    <w:rsid w:val="0052551D"/>
    <w:rsid w:val="005342E2"/>
    <w:rsid w:val="00542814"/>
    <w:rsid w:val="00544FBE"/>
    <w:rsid w:val="00547548"/>
    <w:rsid w:val="00550E46"/>
    <w:rsid w:val="00557842"/>
    <w:rsid w:val="00561FA1"/>
    <w:rsid w:val="00566DB6"/>
    <w:rsid w:val="005741F0"/>
    <w:rsid w:val="00577F35"/>
    <w:rsid w:val="005963E5"/>
    <w:rsid w:val="005A40CC"/>
    <w:rsid w:val="005B254C"/>
    <w:rsid w:val="005C6763"/>
    <w:rsid w:val="005D4E08"/>
    <w:rsid w:val="005D75FD"/>
    <w:rsid w:val="005E2E37"/>
    <w:rsid w:val="00611B86"/>
    <w:rsid w:val="00643621"/>
    <w:rsid w:val="0064619E"/>
    <w:rsid w:val="00653518"/>
    <w:rsid w:val="00692DDE"/>
    <w:rsid w:val="006B2269"/>
    <w:rsid w:val="006B5BF3"/>
    <w:rsid w:val="006C249A"/>
    <w:rsid w:val="006C63F5"/>
    <w:rsid w:val="006E363C"/>
    <w:rsid w:val="006E4AE5"/>
    <w:rsid w:val="006F2730"/>
    <w:rsid w:val="00706315"/>
    <w:rsid w:val="00717EAF"/>
    <w:rsid w:val="007404C8"/>
    <w:rsid w:val="00751CB6"/>
    <w:rsid w:val="007701F0"/>
    <w:rsid w:val="007766CB"/>
    <w:rsid w:val="00777121"/>
    <w:rsid w:val="0078106D"/>
    <w:rsid w:val="0078294D"/>
    <w:rsid w:val="00787F1B"/>
    <w:rsid w:val="007C4E2E"/>
    <w:rsid w:val="007E0B11"/>
    <w:rsid w:val="007E1CD5"/>
    <w:rsid w:val="00822A6C"/>
    <w:rsid w:val="00834218"/>
    <w:rsid w:val="00850D9B"/>
    <w:rsid w:val="008562BC"/>
    <w:rsid w:val="00864F60"/>
    <w:rsid w:val="00865F60"/>
    <w:rsid w:val="008773F4"/>
    <w:rsid w:val="008A33BF"/>
    <w:rsid w:val="008B516F"/>
    <w:rsid w:val="008C1DEB"/>
    <w:rsid w:val="008C7F10"/>
    <w:rsid w:val="008E2826"/>
    <w:rsid w:val="008F5E0B"/>
    <w:rsid w:val="00915AE2"/>
    <w:rsid w:val="00923511"/>
    <w:rsid w:val="00930992"/>
    <w:rsid w:val="00946EB6"/>
    <w:rsid w:val="00953B0F"/>
    <w:rsid w:val="00954583"/>
    <w:rsid w:val="009655BF"/>
    <w:rsid w:val="00966936"/>
    <w:rsid w:val="0097253C"/>
    <w:rsid w:val="00982418"/>
    <w:rsid w:val="0098528E"/>
    <w:rsid w:val="009940F5"/>
    <w:rsid w:val="009C0DD6"/>
    <w:rsid w:val="009C2F7D"/>
    <w:rsid w:val="00A25E8A"/>
    <w:rsid w:val="00A274FF"/>
    <w:rsid w:val="00A44149"/>
    <w:rsid w:val="00A54745"/>
    <w:rsid w:val="00A61633"/>
    <w:rsid w:val="00A658AB"/>
    <w:rsid w:val="00A74F13"/>
    <w:rsid w:val="00A7603A"/>
    <w:rsid w:val="00A7610F"/>
    <w:rsid w:val="00A9262E"/>
    <w:rsid w:val="00AA3FBA"/>
    <w:rsid w:val="00AC1332"/>
    <w:rsid w:val="00AD231D"/>
    <w:rsid w:val="00AF4C40"/>
    <w:rsid w:val="00B0708D"/>
    <w:rsid w:val="00B12B51"/>
    <w:rsid w:val="00B459DD"/>
    <w:rsid w:val="00B52F9C"/>
    <w:rsid w:val="00B63685"/>
    <w:rsid w:val="00B77334"/>
    <w:rsid w:val="00B90125"/>
    <w:rsid w:val="00B92171"/>
    <w:rsid w:val="00BA0A21"/>
    <w:rsid w:val="00BD160E"/>
    <w:rsid w:val="00BD3852"/>
    <w:rsid w:val="00BD5645"/>
    <w:rsid w:val="00BE772D"/>
    <w:rsid w:val="00C532B3"/>
    <w:rsid w:val="00C71792"/>
    <w:rsid w:val="00CA6CA8"/>
    <w:rsid w:val="00CC167B"/>
    <w:rsid w:val="00D12537"/>
    <w:rsid w:val="00D12BC8"/>
    <w:rsid w:val="00D13EFC"/>
    <w:rsid w:val="00D25CB2"/>
    <w:rsid w:val="00D564BF"/>
    <w:rsid w:val="00D56EBE"/>
    <w:rsid w:val="00D66E6E"/>
    <w:rsid w:val="00D70A60"/>
    <w:rsid w:val="00D71D7E"/>
    <w:rsid w:val="00D85DA1"/>
    <w:rsid w:val="00D86103"/>
    <w:rsid w:val="00DA56A9"/>
    <w:rsid w:val="00DD143D"/>
    <w:rsid w:val="00E1690F"/>
    <w:rsid w:val="00E16ACB"/>
    <w:rsid w:val="00E36137"/>
    <w:rsid w:val="00E47D53"/>
    <w:rsid w:val="00E57B8A"/>
    <w:rsid w:val="00E6020E"/>
    <w:rsid w:val="00E74371"/>
    <w:rsid w:val="00E863C5"/>
    <w:rsid w:val="00EA0609"/>
    <w:rsid w:val="00ED77AD"/>
    <w:rsid w:val="00EE6EFD"/>
    <w:rsid w:val="00F16439"/>
    <w:rsid w:val="00F1706F"/>
    <w:rsid w:val="00F239C9"/>
    <w:rsid w:val="00F23BCF"/>
    <w:rsid w:val="00F62DB8"/>
    <w:rsid w:val="00F704E6"/>
    <w:rsid w:val="00F85B98"/>
    <w:rsid w:val="00F875F1"/>
    <w:rsid w:val="00FB4DC2"/>
    <w:rsid w:val="00F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F8A3A0-59FB-4831-95FE-9E1BE8D1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character" w:styleId="PageNumber">
    <w:name w:val="page number"/>
    <w:basedOn w:val="DefaultParagraphFont"/>
    <w:rsid w:val="009C2F7D"/>
  </w:style>
  <w:style w:type="paragraph" w:styleId="ListParagraph">
    <w:name w:val="List Paragraph"/>
    <w:basedOn w:val="Normal"/>
    <w:uiPriority w:val="34"/>
    <w:qFormat/>
    <w:rsid w:val="001F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documents/3859598/5936561/KS-01-13-429-3A-C-EN.PDF.pdf/69e7e68c-661d-44dc-bef3-d0e560403722?t=1414782972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san.gavrilovic@stat.gov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Branka Pantic</cp:lastModifiedBy>
  <cp:revision>10</cp:revision>
  <cp:lastPrinted>2011-03-29T13:27:00Z</cp:lastPrinted>
  <dcterms:created xsi:type="dcterms:W3CDTF">2023-10-02T05:55:00Z</dcterms:created>
  <dcterms:modified xsi:type="dcterms:W3CDTF">2023-10-03T09:23:00Z</dcterms:modified>
</cp:coreProperties>
</file>